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rPr>
      </w:pPr>
      <w:r>
        <w:rPr>
          <w:rFonts w:hint="eastAsia" w:ascii="楷体" w:hAnsi="楷体" w:eastAsia="楷体"/>
          <w:b/>
          <w:sz w:val="72"/>
          <w:szCs w:val="72"/>
        </w:rPr>
      </w:r>
      <w:r/>
    </w:p>
    <w:p>
      <w:pPr>
        <w:jc w:val="both"/>
        <w:spacing w:line="1040" w:lineRule="exact"/>
        <w:rPr>
          <w:rFonts w:hint="eastAsia" w:ascii="黑体" w:hAnsi="黑体" w:eastAsia="黑体"/>
          <w:b/>
          <w:sz w:val="72"/>
          <w:szCs w:val="72"/>
        </w:rPr>
      </w:pPr>
      <w:r>
        <w:rPr>
          <w:rFonts w:hint="eastAsia" w:ascii="黑体" w:hAnsi="黑体" w:eastAsia="黑体"/>
          <w:b/>
          <w:sz w:val="72"/>
          <w:szCs w:val="72"/>
        </w:rPr>
      </w:r>
      <w:r/>
    </w:p>
    <w:p>
      <w:pPr>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hint="eastAsia" w:ascii="黑体" w:hAnsi="黑体" w:eastAsia="黑体"/>
          <w:b/>
          <w:sz w:val="72"/>
        </w:rPr>
      </w:pPr>
      <w:r>
        <w:rPr>
          <w:rFonts w:hint="eastAsia" w:ascii="黑体" w:hAnsi="黑体" w:eastAsia="黑体"/>
          <w:b/>
          <w:sz w:val="7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ind w:left="5411" w:hanging="3975"/>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t xml:space="preserve">垃圾中转站设施设备、公厕新建及改造项目</w:t>
      </w:r>
      <w:r/>
    </w:p>
    <w:p>
      <w:pPr>
        <w:ind w:left="5405" w:hanging="2891"/>
        <w:spacing w:line="760" w:lineRule="exact"/>
        <w:rPr>
          <w:rFonts w:hint="eastAsia" w:ascii="黑体" w:hAnsi="黑体" w:eastAsia="黑体"/>
          <w:b/>
          <w:sz w:val="36"/>
          <w:lang w:val="en-US" w:eastAsia="zh-CN"/>
        </w:rPr>
      </w:pPr>
      <w:r>
        <w:rPr>
          <w:rFonts w:hint="eastAsia" w:ascii="黑体" w:hAnsi="黑体" w:eastAsia="黑体"/>
          <w:b/>
          <w:sz w:val="36"/>
          <w:szCs w:val="36"/>
          <w:lang w:eastAsia="zh-CN"/>
        </w:rPr>
        <w:t xml:space="preserve">（地埋水平压缩式设备采购）</w:t>
      </w:r>
      <w:r>
        <w:rPr>
          <w:rFonts w:hint="eastAsia" w:ascii="黑体" w:hAnsi="黑体" w:eastAsia="黑体"/>
          <w:b/>
          <w:sz w:val="36"/>
          <w:lang w:val="en-US" w:eastAsia="zh-CN"/>
        </w:rPr>
        <w:t xml:space="preserve"> </w:t>
      </w:r>
      <w:r/>
    </w:p>
    <w:p>
      <w:pPr>
        <w:spacing w:line="760" w:lineRule="exact"/>
        <w:rPr>
          <w:rFonts w:hint="eastAsia" w:ascii="黑体" w:hAnsi="黑体" w:eastAsia="黑体"/>
          <w:b/>
          <w:sz w:val="36"/>
        </w:rPr>
      </w:pPr>
      <w:r>
        <w:rPr>
          <w:rFonts w:hint="eastAsia" w:ascii="黑体" w:hAnsi="黑体" w:eastAsia="黑体"/>
          <w:b/>
          <w:sz w:val="36"/>
        </w:rPr>
      </w:r>
      <w:r/>
    </w:p>
    <w:p>
      <w:pPr>
        <w:ind w:firstLine="1579"/>
        <w:spacing w:line="760" w:lineRule="exact"/>
        <w:rPr>
          <w:rFonts w:hint="eastAsia" w:ascii="黑体" w:hAnsi="黑体" w:eastAsia="黑体"/>
          <w:b/>
          <w:sz w:val="36"/>
          <w:lang w:val="en-US" w:eastAsia="zh-CN"/>
        </w:rPr>
      </w:pPr>
      <w:r>
        <w:rPr>
          <w:rFonts w:hint="eastAsia" w:ascii="黑体" w:hAnsi="黑体" w:eastAsia="黑体"/>
          <w:b/>
          <w:sz w:val="36"/>
        </w:rPr>
        <w:t xml:space="preserve">项目编号:</w:t>
      </w:r>
      <w:r>
        <w:rPr>
          <w:rFonts w:hint="eastAsia" w:ascii="黑体" w:hAnsi="黑体" w:eastAsia="黑体"/>
          <w:b/>
          <w:sz w:val="36"/>
          <w:lang w:val="en-US" w:eastAsia="zh-CN"/>
        </w:rPr>
        <w:t xml:space="preserve">JSZC-320812-YSJS-G2026-0008</w:t>
      </w:r>
      <w:r/>
    </w:p>
    <w:p>
      <w:pPr>
        <w:ind w:left="-359" w:firstLine="360"/>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rPr>
      </w:pPr>
      <w:r>
        <w:rPr>
          <w:rFonts w:hint="eastAsia"/>
        </w:rPr>
      </w:r>
      <w:r/>
    </w:p>
    <w:p>
      <w:pPr>
        <w:rPr>
          <w:rFonts w:hint="eastAsia"/>
        </w:rPr>
      </w:pPr>
      <w:r>
        <w:rPr>
          <w:rFonts w:hint="eastAsia"/>
        </w:rPr>
      </w:r>
      <w:r/>
    </w:p>
    <w:p>
      <w:pPr>
        <w:rPr>
          <w:rFonts w:hint="eastAsia" w:ascii="黑体" w:hAnsi="黑体" w:eastAsia="黑体"/>
          <w:b/>
          <w:sz w:val="32"/>
        </w:rPr>
      </w:pPr>
      <w:r>
        <w:rPr>
          <w:rFonts w:hint="eastAsia" w:ascii="黑体" w:hAnsi="黑体" w:eastAsia="黑体"/>
          <w:b/>
          <w:sz w:val="32"/>
        </w:rPr>
      </w:r>
      <w:r/>
    </w:p>
    <w:p>
      <w:pPr>
        <w:jc w:val="center"/>
        <w:spacing w:line="600" w:lineRule="exact"/>
        <w:tabs>
          <w:tab w:val="center" w:pos="5215" w:leader="none"/>
        </w:tabs>
        <w:rPr>
          <w:rFonts w:hint="eastAsia" w:ascii="黑体" w:hAnsi="黑体" w:eastAsia="黑体"/>
          <w:b/>
          <w:sz w:val="36"/>
          <w:szCs w:val="36"/>
          <w:lang w:eastAsia="zh-CN"/>
        </w:rPr>
      </w:pPr>
      <w:r>
        <w:rPr>
          <w:rFonts w:hint="eastAsia" w:ascii="黑体" w:hAnsi="黑体" w:eastAsia="黑体"/>
          <w:b/>
          <w:sz w:val="36"/>
          <w:szCs w:val="36"/>
          <w:lang w:eastAsia="zh-CN"/>
        </w:rPr>
        <w:t xml:space="preserve">江苏永实工程项目管理有限公司</w:t>
      </w:r>
      <w:r/>
    </w:p>
    <w:p>
      <w:pPr>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r>
      <w:r/>
    </w:p>
    <w:p>
      <w:pPr>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w:t>
      </w:r>
      <w:r>
        <w:rPr>
          <w:rFonts w:hint="eastAsia" w:ascii="黑体" w:hAnsi="黑体" w:eastAsia="黑体"/>
          <w:b/>
          <w:sz w:val="36"/>
          <w:szCs w:val="36"/>
          <w:lang w:val="en-US" w:eastAsia="zh-CN"/>
        </w:rPr>
        <w:t xml:space="preserve">〇</w:t>
      </w:r>
      <w:r>
        <w:rPr>
          <w:rFonts w:hint="eastAsia" w:ascii="黑体" w:hAnsi="黑体" w:eastAsia="黑体"/>
          <w:b/>
          <w:sz w:val="36"/>
          <w:szCs w:val="36"/>
        </w:rPr>
        <w:t xml:space="preserve">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五</w:t>
      </w:r>
      <w:r>
        <w:rPr>
          <w:rFonts w:hint="eastAsia" w:ascii="黑体" w:hAnsi="黑体" w:eastAsia="黑体"/>
          <w:b/>
          <w:sz w:val="36"/>
          <w:szCs w:val="36"/>
        </w:rPr>
        <w:t xml:space="preserve">月</w:t>
      </w:r>
      <w:r/>
    </w:p>
    <w:p>
      <w:pPr>
        <w:rPr>
          <w:rFonts w:hint="eastAsia" w:ascii="宋体" w:hAnsi="宋体"/>
          <w:sz w:val="24"/>
        </w:rPr>
      </w:pPr>
      <w:r>
        <w:rPr>
          <w:rFonts w:hint="eastAsia" w:ascii="宋体" w:hAnsi="宋体"/>
          <w:sz w:val="24"/>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t xml:space="preserve">受淮安市清江浦区环卫事业管理服务中心的委托，</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就</w:t>
      </w:r>
      <w:r>
        <w:rPr>
          <w:rFonts w:hint="eastAsia" w:ascii="仿宋" w:hAnsi="仿宋" w:eastAsia="仿宋"/>
          <w:sz w:val="28"/>
          <w:szCs w:val="28"/>
          <w:lang w:eastAsia="zh-CN"/>
        </w:rPr>
        <w:t xml:space="preserve">垃圾中转站设施设备、公厕新建及改造项目（地埋水平压缩式设备采购）</w:t>
      </w:r>
      <w:r>
        <w:rPr>
          <w:rFonts w:hint="eastAsia" w:ascii="仿宋" w:hAnsi="仿宋" w:eastAsia="仿宋"/>
          <w:sz w:val="28"/>
          <w:szCs w:val="28"/>
        </w:rPr>
        <w:t xml:space="preserve">进行公开招标采购，现邀请符合条件的供应商参加投标。</w: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6319520" cy="1167130"/>
                <wp:effectExtent l="5080" t="4445" r="19050" b="9525"/>
                <wp:wrapNone/>
                <wp:docPr id="1" name="矩形 1"/>
                <wp:cNvGraphicFramePr/>
                <a:graphic xmlns:a="http://schemas.openxmlformats.org/drawingml/2006/main">
                  <a:graphicData uri="http://schemas.microsoft.com/office/word/2010/wordprocessingShape">
                    <wps:wsp>
                      <wps:cNvPr id="0" name=""/>
                      <wps:cNvSpPr/>
                      <wps:spPr bwMode="auto">
                        <a:xfrm>
                          <a:off x="0" y="0"/>
                          <a:ext cx="6319520" cy="1167130"/>
                        </a:xfrm>
                        <a:prstGeom prst="rect">
                          <a:avLst/>
                        </a:prstGeom>
                        <a:solidFill>
                          <a:srgbClr val="FFFFFF"/>
                        </a:solidFill>
                        <a:ln>
                          <a:solidFill>
                            <a:srgbClr val="000000"/>
                          </a:solidFill>
                        </a:ln>
                      </wps:spPr>
                      <wps:txbx>
                        <w:txbxContent>
                          <w:p>
                            <w:pPr>
                              <w:ind w:firstLine="537"/>
                              <w:jc w:val="left"/>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垃圾中转站设施设备、公厕新建及改造项目（地埋水平压缩式设备采购）</w:t>
                            </w:r>
                            <w:r>
                              <w:rPr>
                                <w:rFonts w:hint="eastAsia" w:ascii="仿宋" w:hAnsi="仿宋" w:eastAsia="仿宋"/>
                                <w:sz w:val="28"/>
                                <w:szCs w:val="28"/>
                              </w:rPr>
                              <w:t xml:space="preserve">的潜在供应商应在淮安市政府采购网自行免费下载招标文件，并于</w:t>
                            </w:r>
                            <w:r>
                              <w:rPr>
                                <w:rFonts w:hint="eastAsia" w:ascii="仿宋" w:hAnsi="仿宋" w:eastAsia="仿宋"/>
                                <w:sz w:val="28"/>
                                <w:szCs w:val="28"/>
                                <w:lang w:eastAsia="zh-CN"/>
                              </w:rPr>
                              <w:t xml:space="preserve">2026年</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月</w:t>
                            </w:r>
                            <w:r>
                              <w:rPr>
                                <w:rFonts w:hint="eastAsia" w:ascii="仿宋" w:hAnsi="仿宋" w:eastAsia="仿宋"/>
                                <w:sz w:val="28"/>
                                <w:szCs w:val="28"/>
                                <w:lang w:val="en-US" w:eastAsia="zh-CN"/>
                              </w:rPr>
                              <w:t xml:space="preserve">29</w:t>
                            </w:r>
                            <w:r>
                              <w:rPr>
                                <w:rFonts w:hint="eastAsia" w:ascii="仿宋" w:hAnsi="仿宋" w:eastAsia="仿宋"/>
                                <w:sz w:val="28"/>
                                <w:szCs w:val="28"/>
                                <w:lang w:eastAsia="zh-CN"/>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lang w:eastAsia="zh-CN"/>
                              </w:rPr>
                              <w:t xml:space="preserve">分</w:t>
                            </w:r>
                            <w:r>
                              <w:rPr>
                                <w:rFonts w:hint="eastAsia" w:ascii="仿宋" w:hAnsi="仿宋" w:eastAsia="仿宋"/>
                                <w:sz w:val="28"/>
                                <w:szCs w:val="28"/>
                              </w:rPr>
                              <w:t xml:space="preserve">（北京时间）前提交投标文件。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97.6pt;height:91.9pt;mso-wrap-distance-left:9.0pt;mso-wrap-distance-top:0.0pt;mso-wrap-distance-right:9.0pt;mso-wrap-distance-bottom:0.0pt;visibility:visible;" fillcolor="#FFFFFF" strokecolor="#000000">
                <v:textbox inset="0,0,0,0">
                  <w:txbxContent>
                    <w:p>
                      <w:pPr>
                        <w:ind w:firstLine="537"/>
                        <w:jc w:val="left"/>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垃圾中转站设施设备、公厕新建及改造项目（地埋水平压缩式设备采购）</w:t>
                      </w:r>
                      <w:r>
                        <w:rPr>
                          <w:rFonts w:hint="eastAsia" w:ascii="仿宋" w:hAnsi="仿宋" w:eastAsia="仿宋"/>
                          <w:sz w:val="28"/>
                          <w:szCs w:val="28"/>
                        </w:rPr>
                        <w:t xml:space="preserve">的潜在供应商应在淮安市政府采购网自行免费下载招标文件，并于</w:t>
                      </w:r>
                      <w:r>
                        <w:rPr>
                          <w:rFonts w:hint="eastAsia" w:ascii="仿宋" w:hAnsi="仿宋" w:eastAsia="仿宋"/>
                          <w:sz w:val="28"/>
                          <w:szCs w:val="28"/>
                          <w:lang w:eastAsia="zh-CN"/>
                        </w:rPr>
                        <w:t xml:space="preserve">2026年</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月</w:t>
                      </w:r>
                      <w:r>
                        <w:rPr>
                          <w:rFonts w:hint="eastAsia" w:ascii="仿宋" w:hAnsi="仿宋" w:eastAsia="仿宋"/>
                          <w:sz w:val="28"/>
                          <w:szCs w:val="28"/>
                          <w:lang w:val="en-US" w:eastAsia="zh-CN"/>
                        </w:rPr>
                        <w:t xml:space="preserve">29</w:t>
                      </w:r>
                      <w:r>
                        <w:rPr>
                          <w:rFonts w:hint="eastAsia" w:ascii="仿宋" w:hAnsi="仿宋" w:eastAsia="仿宋"/>
                          <w:sz w:val="28"/>
                          <w:szCs w:val="28"/>
                          <w:lang w:eastAsia="zh-CN"/>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lang w:eastAsia="zh-CN"/>
                        </w:rPr>
                        <w:t xml:space="preserve">分</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t xml:space="preserve">一、项目基本情况</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（一）项目编号:JSZC-320812-YSJS-G2026-0008</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垃圾中转站设施设备、公厕新建及改造项目（地埋水平压缩式设备采购）</w:t>
      </w:r>
      <w:r>
        <w:rPr>
          <w:rFonts w:hint="eastAsia" w:ascii="仿宋" w:hAnsi="仿宋" w:eastAsia="仿宋"/>
          <w:sz w:val="28"/>
          <w:szCs w:val="28"/>
        </w:rPr>
        <w:t xml:space="preserve"> </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720</w:t>
      </w:r>
      <w:r>
        <w:rPr>
          <w:rFonts w:hint="eastAsia" w:ascii="仿宋" w:hAnsi="仿宋" w:eastAsia="仿宋"/>
          <w:sz w:val="28"/>
          <w:szCs w:val="28"/>
        </w:rPr>
        <w:t xml:space="preserve">万元</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720</w:t>
      </w:r>
      <w:r>
        <w:rPr>
          <w:rFonts w:hint="eastAsia" w:ascii="仿宋" w:hAnsi="仿宋" w:eastAsia="仿宋"/>
          <w:sz w:val="28"/>
          <w:szCs w:val="28"/>
        </w:rPr>
        <w:t xml:space="preserve">万元</w:t>
      </w:r>
      <w:r/>
    </w:p>
    <w:p>
      <w:pPr>
        <w:ind w:firstLine="280"/>
        <w:spacing w:line="520" w:lineRule="exact"/>
        <w:rPr>
          <w:rFonts w:hint="eastAsia" w:ascii="仿宋" w:hAnsi="仿宋" w:eastAsia="仿宋"/>
          <w:color w:val="auto"/>
          <w:sz w:val="28"/>
          <w:szCs w:val="28"/>
        </w:rPr>
      </w:pPr>
      <w:r>
        <w:rPr>
          <w:rFonts w:hint="eastAsia" w:ascii="仿宋" w:hAnsi="仿宋" w:eastAsia="仿宋"/>
          <w:sz w:val="28"/>
          <w:szCs w:val="28"/>
        </w:rPr>
        <w:t xml:space="preserve">（五）采购需求:地埋水平压缩式12立方中转站设备16套，详细内容</w:t>
      </w:r>
      <w:r>
        <w:rPr>
          <w:rFonts w:hint="eastAsia" w:ascii="仿宋" w:hAnsi="仿宋" w:eastAsia="仿宋"/>
          <w:color w:val="auto"/>
          <w:sz w:val="28"/>
          <w:szCs w:val="28"/>
        </w:rPr>
        <w:t xml:space="preserve">见本招标文件第五章。</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（六）合同履行期限:合同签订后，中标供应商接到采购人供货通知15日内供货安装调试到位并交付采购人使用。（供货数量以采购人通知为准，实行分批供货，不一次性完成全部交付。） </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（七）本项目不接受联合体投标。</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（八）本项目采购标的对应的中小企业划分标准所属行业为</w:t>
      </w:r>
      <w:r>
        <w:rPr>
          <w:rFonts w:hint="eastAsia" w:ascii="仿宋" w:hAnsi="仿宋" w:eastAsia="仿宋"/>
          <w:color w:val="auto"/>
          <w:sz w:val="28"/>
          <w:szCs w:val="28"/>
          <w:u w:val="single"/>
        </w:rPr>
        <w:t xml:space="preserve">工业</w:t>
      </w:r>
      <w:r>
        <w:rPr>
          <w:rFonts w:hint="eastAsia" w:ascii="仿宋" w:hAnsi="仿宋" w:eastAsia="仿宋"/>
          <w:color w:val="auto"/>
          <w:sz w:val="28"/>
          <w:szCs w:val="28"/>
        </w:rPr>
        <w:t xml:space="preserve">。</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二、申请人的资格要求:</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（一）符合《中华人民共和国政府采购法》第二十二条规定；</w:t>
      </w:r>
      <w:r/>
    </w:p>
    <w:p>
      <w:pPr>
        <w:ind w:firstLine="28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（二）落实政府采购政策需满足的资格要求:</w:t>
      </w:r>
      <w:r>
        <w:rPr>
          <w:rFonts w:hint="eastAsia" w:ascii="仿宋" w:hAnsi="仿宋" w:eastAsia="仿宋"/>
          <w:color w:val="auto"/>
          <w:sz w:val="28"/>
          <w:szCs w:val="28"/>
          <w:lang w:val="zh-CN"/>
        </w:rPr>
        <w:t xml:space="preserve">本项目</w:t>
      </w:r>
      <w:r>
        <w:rPr>
          <w:rFonts w:hint="eastAsia" w:ascii="仿宋" w:hAnsi="仿宋" w:eastAsia="仿宋"/>
          <w:color w:val="auto"/>
          <w:sz w:val="28"/>
          <w:szCs w:val="28"/>
        </w:rPr>
        <w:t xml:space="preserve">按照</w:t>
      </w:r>
      <w:r>
        <w:rPr>
          <w:rFonts w:hint="eastAsia" w:ascii="仿宋" w:hAnsi="仿宋" w:eastAsia="仿宋"/>
          <w:color w:val="auto"/>
          <w:sz w:val="28"/>
          <w:szCs w:val="28"/>
          <w:lang w:val="zh-CN"/>
        </w:rPr>
        <w:t xml:space="preserve">以下第</w:t>
      </w:r>
      <w:r>
        <w:rPr>
          <w:rFonts w:hint="eastAsia" w:ascii="仿宋" w:hAnsi="仿宋" w:eastAsia="仿宋"/>
          <w:color w:val="auto"/>
          <w:sz w:val="28"/>
          <w:szCs w:val="28"/>
          <w:u w:val="single"/>
        </w:rPr>
        <w:t xml:space="preserve"> 1 </w:t>
      </w:r>
      <w:r>
        <w:rPr>
          <w:rFonts w:hint="eastAsia" w:ascii="仿宋" w:hAnsi="仿宋" w:eastAsia="仿宋"/>
          <w:color w:val="auto"/>
          <w:sz w:val="28"/>
          <w:szCs w:val="28"/>
          <w:lang w:val="zh-CN"/>
        </w:rPr>
        <w:t xml:space="preserve">种方式落实政府采购促进中小企业发展的要求：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zh-CN"/>
        </w:rPr>
        <w:t xml:space="preserve">1</w:t>
      </w:r>
      <w:r>
        <w:rPr>
          <w:rFonts w:hint="eastAsia" w:ascii="仿宋" w:hAnsi="仿宋" w:eastAsia="仿宋"/>
          <w:color w:val="auto"/>
          <w:sz w:val="28"/>
          <w:szCs w:val="28"/>
        </w:rPr>
        <w:t xml:space="preserve">.</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2.</w:t>
      </w:r>
      <w:r>
        <w:rPr>
          <w:rFonts w:hint="eastAsia" w:ascii="仿宋" w:hAnsi="仿宋" w:eastAsia="仿宋"/>
          <w:color w:val="auto"/>
          <w:sz w:val="28"/>
          <w:szCs w:val="28"/>
          <w:lang w:val="zh-CN"/>
        </w:rPr>
        <w:t xml:space="preserve">本项目通过以下第（）种方式预留部分采购份额</w:t>
      </w:r>
      <w:r>
        <w:rPr>
          <w:rFonts w:hint="eastAsia" w:ascii="仿宋" w:hAnsi="仿宋" w:eastAsia="仿宋"/>
          <w:color w:val="auto"/>
          <w:sz w:val="28"/>
          <w:szCs w:val="28"/>
        </w:rPr>
        <w:t xml:space="preserve">采购</w:t>
      </w:r>
      <w:r>
        <w:rPr>
          <w:rFonts w:hint="eastAsia" w:ascii="仿宋" w:hAnsi="仿宋" w:eastAsia="仿宋"/>
          <w:color w:val="auto"/>
          <w:sz w:val="28"/>
          <w:szCs w:val="28"/>
          <w:lang w:val="zh-CN"/>
        </w:rPr>
        <w:t xml:space="preserve">中小企业</w:t>
      </w:r>
      <w:r>
        <w:rPr>
          <w:rFonts w:hint="eastAsia" w:ascii="仿宋" w:hAnsi="仿宋" w:eastAsia="仿宋"/>
          <w:color w:val="auto"/>
          <w:sz w:val="28"/>
          <w:szCs w:val="28"/>
        </w:rPr>
        <w:t xml:space="preserve">服务</w:t>
      </w:r>
      <w:r>
        <w:rPr>
          <w:rFonts w:hint="eastAsia" w:ascii="仿宋" w:hAnsi="仿宋" w:eastAsia="仿宋"/>
          <w:color w:val="auto"/>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color w:val="auto"/>
          <w:sz w:val="28"/>
          <w:szCs w:val="28"/>
          <w:lang w:val="zh-CN"/>
        </w:rPr>
        <w:t xml:space="preserve">（1）本项目要求供应商以联合体形式参加，中小企业合同</w:t>
      </w:r>
      <w:r>
        <w:rPr>
          <w:rFonts w:hint="eastAsia" w:ascii="仿宋" w:hAnsi="仿宋" w:eastAsia="仿宋"/>
          <w:sz w:val="28"/>
          <w:szCs w:val="28"/>
          <w:lang w:val="zh-CN"/>
        </w:rPr>
        <w:t xml:space="preserve">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对小微企业报价给予扣除，用扣除后的价格参加评审，具体详见第二章“供应商须知”第33.1项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spacing w:line="520" w:lineRule="exact"/>
        <w:rPr>
          <w:rFonts w:hint="eastAsia" w:ascii="仿宋" w:hAnsi="仿宋" w:eastAsia="仿宋"/>
          <w:sz w:val="28"/>
          <w:szCs w:val="28"/>
        </w:rPr>
      </w:pPr>
      <w:r>
        <w:rPr>
          <w:rFonts w:hint="eastAsia" w:ascii="仿宋" w:hAnsi="仿宋" w:eastAsia="仿宋"/>
          <w:sz w:val="28"/>
          <w:szCs w:val="28"/>
        </w:rPr>
        <w:t xml:space="preserve">（三）本项目的特定资格要求:无。</w:t>
      </w:r>
      <w:r/>
    </w:p>
    <w:p>
      <w:pPr>
        <w:spacing w:line="520" w:lineRule="exact"/>
        <w:rPr>
          <w:rFonts w:hint="eastAsia" w:ascii="仿宋" w:hAnsi="仿宋" w:eastAsia="仿宋"/>
          <w:sz w:val="28"/>
          <w:szCs w:val="28"/>
        </w:rPr>
      </w:pPr>
      <w:r>
        <w:rPr>
          <w:rFonts w:hint="eastAsia" w:ascii="仿宋" w:hAnsi="仿宋" w:eastAsia="仿宋" w:cs="宋体"/>
          <w:sz w:val="28"/>
          <w:szCs w:val="28"/>
        </w:rPr>
        <w:t xml:space="preserve">（四）拒绝下述条件的供应商参加本次采购活动: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w:t>
      </w:r>
      <w:r>
        <w:rPr>
          <w:rFonts w:ascii="仿宋" w:hAnsi="仿宋" w:eastAsia="仿宋"/>
          <w:sz w:val="28"/>
          <w:szCs w:val="28"/>
        </w:rPr>
        <w:t xml:space="preserve">单位负责人为同一人或者存在直接控股、管理关系的不同供应商，不得</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p>
    <w:p>
      <w:pPr>
        <w:ind w:firstLine="560"/>
        <w:spacing w:line="520" w:lineRule="exact"/>
        <w:rPr>
          <w:rFonts w:hint="eastAsia"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为采购项目提供整体设计、规范编制或者项目管理、监理、检测等服务的供应商，不得再参加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3.供应商被“信用中国”网站、“中国政府采购网”列入失信被执行人、重大税收违法案件当事人名单、政府采购严重违法失信行为记录名单。</w:t>
      </w:r>
      <w:r/>
    </w:p>
    <w:p>
      <w:pPr>
        <w:spacing w:line="520" w:lineRule="exact"/>
        <w:rPr>
          <w:rFonts w:hint="eastAsia"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时间:自招标公告发布之日起五个工作日。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方式：在“淮安市政府采购网”自行免费下载招标文件。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652"/>
        <w:spacing w:line="520" w:lineRule="exact"/>
        <w:rPr>
          <w:rFonts w:hint="eastAsia" w:ascii="仿宋" w:hAnsi="仿宋" w:eastAsia="仿宋"/>
          <w:sz w:val="28"/>
          <w:szCs w:val="28"/>
        </w:rPr>
      </w:pPr>
      <w:r>
        <w:rPr>
          <w:rFonts w:hint="eastAsia" w:ascii="仿宋" w:hAnsi="仿宋" w:eastAsia="仿宋"/>
          <w:sz w:val="28"/>
          <w:szCs w:val="28"/>
        </w:rPr>
        <w:t xml:space="preserve">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时</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w:t>
      </w:r>
      <w:r/>
    </w:p>
    <w:p>
      <w:pPr>
        <w:ind w:firstLine="652"/>
        <w:spacing w:line="520" w:lineRule="exact"/>
        <w:rPr>
          <w:rFonts w:hint="eastAsia" w:ascii="仿宋" w:hAnsi="仿宋" w:eastAsia="仿宋"/>
          <w:sz w:val="28"/>
          <w:szCs w:val="28"/>
        </w:rPr>
      </w:pPr>
      <w:r>
        <w:rPr>
          <w:rFonts w:hint="eastAsia" w:ascii="仿宋" w:hAnsi="仿宋" w:eastAsia="仿宋"/>
          <w:sz w:val="28"/>
          <w:szCs w:val="28"/>
        </w:rPr>
        <w:t xml:space="preserve">投标文件上传地址：“苏采云”政府采购交易系统网上开标大厅。</w:t>
      </w:r>
      <w:r/>
    </w:p>
    <w:p>
      <w:pPr>
        <w:ind w:firstLine="652"/>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开标地点：淮安市北京北路99号清江浦区公共资源交易中心不见面开标室</w:t>
      </w:r>
      <w:r/>
    </w:p>
    <w:p>
      <w:pPr>
        <w:spacing w:line="520" w:lineRule="exact"/>
        <w:rPr>
          <w:rFonts w:hint="eastAsia"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自本公告发布之日起五个工作日。</w:t>
      </w:r>
      <w:r/>
    </w:p>
    <w:p>
      <w:pPr>
        <w:spacing w:line="520" w:lineRule="exact"/>
        <w:rPr>
          <w:rFonts w:hint="eastAsia"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spacing w:line="520" w:lineRule="exact"/>
        <w:rPr>
          <w:rFonts w:hint="eastAsia"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1.采购人联系方式</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名    称：淮安市清江浦区环卫事业管理服务中心</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地    址: 淮安市清江浦区健康西路81号</w:t>
      </w:r>
      <w:r/>
    </w:p>
    <w:p>
      <w:pPr>
        <w:ind w:firstLine="565"/>
        <w:spacing w:line="520" w:lineRule="exact"/>
        <w:rPr>
          <w:rFonts w:hint="eastAsia" w:ascii="仿宋" w:hAnsi="仿宋" w:eastAsia="仿宋" w:cs="仿宋"/>
          <w:bCs/>
          <w:sz w:val="28"/>
          <w:szCs w:val="28"/>
        </w:rPr>
      </w:pPr>
      <w:r>
        <w:rPr>
          <w:rFonts w:hint="eastAsia" w:ascii="仿宋" w:hAnsi="仿宋" w:eastAsia="仿宋"/>
          <w:sz w:val="28"/>
          <w:szCs w:val="28"/>
        </w:rPr>
        <w:t xml:space="preserve">联系方式:戴科长      联系电话：</w:t>
      </w:r>
      <w:r>
        <w:rPr>
          <w:rFonts w:hint="eastAsia" w:ascii="仿宋" w:hAnsi="仿宋" w:eastAsia="仿宋" w:cs="仿宋"/>
          <w:bCs/>
          <w:sz w:val="28"/>
          <w:szCs w:val="28"/>
        </w:rPr>
        <w:t xml:space="preserve">13952308339</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sz w:val="28"/>
          <w:szCs w:val="28"/>
          <w:lang w:eastAsia="zh-CN"/>
        </w:rPr>
        <w:t xml:space="preserve">江苏永实工程项目管理有限公司</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地    址:</w:t>
      </w:r>
      <w:r>
        <w:rPr>
          <w:rFonts w:hint="eastAsia" w:ascii="仿宋" w:hAnsi="仿宋" w:eastAsia="仿宋"/>
          <w:sz w:val="28"/>
          <w:szCs w:val="28"/>
          <w:lang w:val="en-US" w:eastAsia="zh-CN"/>
        </w:rPr>
        <w:t xml:space="preserve">淮安市经济技术开发区留学生创业园1号楼211室</w:t>
      </w:r>
      <w:r/>
    </w:p>
    <w:p>
      <w:pPr>
        <w:ind w:firstLine="565"/>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张维</w:t>
      </w:r>
      <w:r>
        <w:rPr>
          <w:rFonts w:hint="eastAsia" w:ascii="仿宋" w:hAnsi="仿宋" w:eastAsia="仿宋"/>
          <w:sz w:val="28"/>
          <w:szCs w:val="28"/>
        </w:rPr>
        <w:t xml:space="preserve">      联系电话：</w:t>
      </w:r>
      <w:r>
        <w:rPr>
          <w:rFonts w:hint="eastAsia" w:ascii="仿宋" w:hAnsi="仿宋" w:eastAsia="仿宋" w:cs="仿宋"/>
          <w:bCs/>
          <w:sz w:val="28"/>
          <w:szCs w:val="28"/>
          <w:lang w:val="en-US" w:eastAsia="zh-CN"/>
        </w:rPr>
        <w:t xml:space="preserve">18936389198</w:t>
      </w:r>
      <w:r/>
    </w:p>
    <w:p>
      <w:pPr>
        <w:spacing w:line="520" w:lineRule="exact"/>
        <w:rPr>
          <w:rFonts w:hint="eastAsia"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在“淮安市政府采购网”发布的更正公告。</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本项目不收取投标保证金。</w:t>
      </w:r>
      <w:r/>
    </w:p>
    <w:p>
      <w:pPr>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sz w:val="28"/>
          <w:szCs w:val="28"/>
        </w:rPr>
        <w:t xml:space="preserve"> </w:t>
      </w:r>
      <w:r>
        <w:rPr>
          <w:rFonts w:hint="eastAsia" w:ascii="仿宋" w:hAnsi="仿宋" w:eastAsia="仿宋"/>
          <w:b/>
          <w:sz w:val="36"/>
          <w:szCs w:val="36"/>
        </w:rPr>
        <w:t xml:space="preserve">第二章  供应商须知</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1.1本招标文件仅适用于本次投标邀请中所述项目的采购。</w:t>
      </w:r>
      <w:r/>
    </w:p>
    <w:p>
      <w:pPr>
        <w:spacing w:line="520" w:lineRule="exact"/>
        <w:rPr>
          <w:rFonts w:hint="eastAsia" w:ascii="仿宋" w:hAnsi="仿宋" w:eastAsia="仿宋"/>
          <w:sz w:val="28"/>
          <w:szCs w:val="28"/>
        </w:rPr>
      </w:pPr>
      <w:r>
        <w:rPr>
          <w:rFonts w:hint="eastAsia" w:ascii="仿宋" w:hAnsi="仿宋" w:eastAsia="仿宋"/>
          <w:sz w:val="28"/>
          <w:szCs w:val="28"/>
        </w:rPr>
        <w:t xml:space="preserve">2.合格的供应商</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满足第一章投标邀请中供应商资格要求的规定。 </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4.1 供应商应自行承担所有与参加投标有关的费用。不论投标的结果如何，</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（以下简称采购代理机构）和</w:t>
      </w:r>
      <w:r>
        <w:rPr>
          <w:rFonts w:hint="eastAsia" w:ascii="仿宋" w:hAnsi="仿宋" w:eastAsia="仿宋" w:cs="仿宋"/>
          <w:sz w:val="28"/>
          <w:szCs w:val="28"/>
        </w:rPr>
        <w:t xml:space="preserve">淮安市清江浦区环卫事业管理服务中心</w:t>
      </w:r>
      <w:r>
        <w:rPr>
          <w:rFonts w:hint="eastAsia" w:ascii="仿宋" w:hAnsi="仿宋" w:eastAsia="仿宋"/>
          <w:sz w:val="28"/>
          <w:szCs w:val="28"/>
        </w:rPr>
        <w:t xml:space="preserve">（以下简称采购人）在任何情况下均无义务和责任承担这些费用。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4.2 </w:t>
      </w: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招标代理费按照苏政采协〔2024〕20号收费标准执行</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此费用须包含在投标报价中，但无须单独列项计取，</w:t>
      </w:r>
      <w:r>
        <w:rPr>
          <w:rFonts w:hint="eastAsia" w:ascii="仿宋" w:hAnsi="仿宋" w:eastAsia="仿宋"/>
          <w:sz w:val="28"/>
          <w:szCs w:val="28"/>
        </w:rPr>
        <w:t xml:space="preserve">供应商在报价时综合考虑，由中标供应商在领取成交通知书前向代理机构一次性付清。</w:t>
      </w:r>
      <w:r/>
    </w:p>
    <w:p>
      <w:pPr>
        <w:spacing w:line="520" w:lineRule="exact"/>
        <w:rPr>
          <w:rFonts w:hint="eastAsia" w:ascii="仿宋" w:hAnsi="仿宋" w:eastAsia="仿宋"/>
          <w:sz w:val="28"/>
          <w:szCs w:val="28"/>
        </w:rPr>
      </w:pPr>
      <w:r>
        <w:rPr>
          <w:rFonts w:hint="eastAsia" w:ascii="仿宋" w:hAnsi="仿宋" w:eastAsia="仿宋"/>
          <w:sz w:val="28"/>
          <w:szCs w:val="28"/>
        </w:rPr>
        <w:t xml:space="preserve">5、招标文件的约束力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5.1供应商一旦参加本项目采购活动，即被认为接受了本招标文件的规定和约束。</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6.招标文件由以下部分组成: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6.1 投标邀请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6.2 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6.3 合同文本</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6.4评标方法与评标标准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6.5 项目采购需求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6.6 投标文件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7.1在投标截止时间十五日前，</w:t>
      </w:r>
      <w:r>
        <w:rPr>
          <w:rFonts w:hint="eastAsia" w:ascii="仿宋" w:hAnsi="仿宋" w:eastAsia="仿宋"/>
          <w:sz w:val="28"/>
          <w:szCs w:val="28"/>
        </w:rPr>
        <w:t xml:space="preserve">采购代理机构</w:t>
      </w:r>
      <w:r>
        <w:rPr>
          <w:rFonts w:hint="eastAsia" w:ascii="仿宋" w:hAnsi="仿宋" w:eastAsia="仿宋" w:cs="仿宋"/>
          <w:sz w:val="28"/>
          <w:szCs w:val="28"/>
        </w:rPr>
        <w:t xml:space="preserve">可主动或在解答供应商提出的澄清问题时对招标文件用更正公告的方式进行修正。</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7.2对招标文件的更正将在淮安市政府采购网进行公告，更正公告将作为招标文件的组成部分，对所有参加本次投标的供应商都具有约束力。</w:t>
      </w:r>
      <w:r/>
    </w:p>
    <w:p>
      <w:pPr>
        <w:ind w:firstLine="560"/>
        <w:spacing w:line="520" w:lineRule="exact"/>
        <w:rPr>
          <w:rFonts w:hint="eastAsia" w:ascii="仿宋" w:hAnsi="仿宋" w:eastAsia="仿宋"/>
          <w:sz w:val="28"/>
          <w:szCs w:val="28"/>
        </w:rPr>
      </w:pPr>
      <w:r>
        <w:rPr>
          <w:rFonts w:hint="eastAsia" w:ascii="仿宋" w:hAnsi="仿宋" w:eastAsia="仿宋" w:cs="仿宋"/>
          <w:sz w:val="28"/>
          <w:szCs w:val="28"/>
        </w:rPr>
        <w:t xml:space="preserve">7.3为使供应商有足够的时间按招标文件的更正要求修正投标文件，</w:t>
      </w:r>
      <w:r>
        <w:rPr>
          <w:rFonts w:hint="eastAsia" w:ascii="仿宋" w:hAnsi="仿宋" w:eastAsia="仿宋"/>
          <w:sz w:val="28"/>
          <w:szCs w:val="28"/>
        </w:rPr>
        <w:t xml:space="preserve">采购代理机构</w:t>
      </w:r>
      <w:r>
        <w:rPr>
          <w:rFonts w:hint="eastAsia" w:ascii="仿宋" w:hAnsi="仿宋" w:eastAsia="仿宋" w:cs="仿宋"/>
          <w:sz w:val="28"/>
          <w:szCs w:val="28"/>
        </w:rPr>
        <w:t xml:space="preserve">有权按照相关法定的要求推迟投标截止时间和开标日期。</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hint="eastAsia" w:ascii="仿宋" w:hAnsi="仿宋" w:eastAsia="仿宋"/>
          <w:sz w:val="28"/>
          <w:szCs w:val="28"/>
        </w:rPr>
      </w:pPr>
      <w:r/>
      <w:bookmarkStart w:id="0" w:name="_Toc513029214"/>
      <w:r/>
      <w:bookmarkStart w:id="1" w:name="_Toc20823286"/>
      <w:r/>
      <w:bookmarkStart w:id="2" w:name="_Toc16938530"/>
      <w:r/>
      <w:bookmarkStart w:id="3" w:name="_Toc462564073"/>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8.1 供应商提交的投标文件以及供应商与采购人就有关投标的所有来往通知、函件和文件均应使用简体中文。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520" w:lineRule="exact"/>
        <w:rPr>
          <w:rFonts w:hint="eastAsia"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9.1 供应商编写的投标文件应包括资格证明文件、符合性证明文件、投标分项报价表、技术要求响应及偏离表、其他证明文件、投标函、开标一览表等部分。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请供应商根据本招标文件的要求在指定模块中上传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10.证明供应商及投标标的符合招标文件规定的文件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10.1 供应商应按照招标文件要求提交证明文件，证明其及投标标的符合招标文件规定。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hint="eastAsia"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 供应商应按照招标文件规定格式填报投标分项报价表。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12.1 供应商需对招标文件中的技术要求与商务要求逐项作出响应或偏离，并说明原因。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 供应商可在投标文件中提供认为需要的其他技术文件或说明。</w:t>
      </w:r>
      <w:r/>
    </w:p>
    <w:p>
      <w:pPr>
        <w:spacing w:line="520" w:lineRule="exact"/>
        <w:rPr>
          <w:rFonts w:hint="eastAsia"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13.1 供应商需根据招标文件要求提供有关售后服务的管理制度，售后服务机构的分布情况，售后服务人员的数量、素质、技术水平及售后服务的反应能力等。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13.2 供应商需根据招标文件要求提供培训计划。</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13.3 供应商需根据招标文件要求提供所投标的的主要组成部分、功能设计、实现思路及关键技术等。</w:t>
      </w:r>
      <w:r/>
    </w:p>
    <w:p>
      <w:pPr>
        <w:spacing w:line="520" w:lineRule="exact"/>
        <w:rPr>
          <w:rFonts w:hint="eastAsia" w:ascii="仿宋" w:hAnsi="仿宋" w:eastAsia="仿宋"/>
          <w:sz w:val="28"/>
          <w:szCs w:val="28"/>
        </w:rPr>
      </w:pPr>
      <w:r/>
      <w:bookmarkStart w:id="4" w:name="_Toc14577359"/>
      <w:r/>
      <w:bookmarkStart w:id="5" w:name="_Toc49090510"/>
      <w:r>
        <w:rPr>
          <w:rFonts w:hint="eastAsia" w:ascii="仿宋" w:hAnsi="仿宋" w:eastAsia="仿宋"/>
          <w:sz w:val="28"/>
          <w:szCs w:val="28"/>
        </w:rPr>
        <w:t xml:space="preserve">14.投标函和开标一览表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14.1 供应商应按照招标文件中提供的格式完整、正确填写投标函、开标一览表。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仿宋" w:hAnsi="仿宋" w:eastAsia="仿宋"/>
          <w:sz w:val="28"/>
          <w:szCs w:val="28"/>
        </w:rPr>
      </w:pPr>
      <w:r/>
      <w:bookmarkStart w:id="6" w:name="_Toc14577360"/>
      <w:r/>
      <w:bookmarkStart w:id="7" w:name="_Toc49090511"/>
      <w:r>
        <w:rPr>
          <w:rFonts w:hint="eastAsia" w:ascii="仿宋" w:hAnsi="仿宋" w:eastAsia="仿宋"/>
          <w:sz w:val="28"/>
          <w:szCs w:val="28"/>
        </w:rPr>
        <w:t xml:space="preserve">15.投标有效期</w:t>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15.1 投标有效期为采购人规定的开标之日后九十（90）天。投标有效期比规定短的将被视为未实质性响应招标文件而予以拒绝。</w:t>
      </w:r>
      <w:r/>
    </w:p>
    <w:p>
      <w:pPr>
        <w:spacing w:line="520" w:lineRule="exact"/>
        <w:rPr>
          <w:rFonts w:hint="eastAsia"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 本项目评标标准中的方案部分采用明标方式进行评审。</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18.1 供应商应当按照《操作手册》规定，在投标截止时间前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 供应商上传的电子投标文件内容不清楚或不清晰的（含扫描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供应商</w:t>
      </w:r>
      <w:r>
        <w:rPr>
          <w:rFonts w:hint="eastAsia" w:ascii="仿宋" w:hAnsi="仿宋" w:eastAsia="仿宋" w:cs="宋体"/>
          <w:bCs/>
          <w:sz w:val="28"/>
          <w:szCs w:val="28"/>
          <w:lang w:val="zh-CN"/>
        </w:rPr>
        <w:t xml:space="preserve">自负。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18.3 供应商上传电子投标文件的时间不得迟于投标邀请中规定的截止时间。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18.4 代理公司可以按第7条规定，通过修改招标文件有权酌情延长投标文件接收截止时间。在此情况下，供应商的所有权利和义务以及供应商受制约的截止日期均应以延长后新的截止日期为准。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 供应商在上传电子投标文件后可以对其修改或撤回，但这种修改和撤回，必须在规定的开标时间之前，具体操作方法见《操作手册》。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20.2 供应商不得在开标时间以后修改电子投标文件。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20.3 供应商不得在提交电子投标文件截止时间起至投标有效期满前撤回电子投标文件。</w:t>
      </w:r>
      <w:r/>
    </w:p>
    <w:p>
      <w:p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五、开标及评标</w:t>
      </w:r>
      <w:bookmarkEnd w:id="8"/>
      <w:r/>
      <w:r/>
    </w:p>
    <w:p>
      <w:pPr>
        <w:spacing w:line="520" w:lineRule="exact"/>
        <w:rPr>
          <w:rFonts w:hint="eastAsia" w:ascii="仿宋" w:hAnsi="仿宋" w:eastAsia="仿宋"/>
          <w:sz w:val="28"/>
          <w:szCs w:val="28"/>
        </w:rPr>
      </w:pPr>
      <w:r>
        <w:rPr>
          <w:rFonts w:hint="eastAsia" w:ascii="仿宋" w:hAnsi="仿宋" w:eastAsia="仿宋"/>
          <w:sz w:val="28"/>
          <w:szCs w:val="28"/>
        </w:rPr>
        <w:t xml:space="preserve">21.开标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21.1 代理公司将在招标公告中规定的时间和地点组织开标。供应商应当按照《操作手册》规定，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 开标仪式由代理公司组织。苏采云系统将自动对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并宣布各供应商名称和投标价格。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21.3 供应商在开标过程中涉及到的投标文件解密、开标结果确认等工作，应按照《操作手册》规定执行。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21.4 供应商如果对开标过程和开标记录有疑义，应当根据《操作手册》规定提出，如苏采云系统中《开标记录表》宣布后5分钟内未提出的，视同认可开标结果。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sz w:val="28"/>
          <w:szCs w:val="28"/>
        </w:rPr>
      </w:pPr>
      <w:r/>
      <w:bookmarkStart w:id="9" w:name="_Toc513029231"/>
      <w:r/>
      <w:bookmarkStart w:id="10" w:name="_Toc16938547"/>
      <w:r/>
      <w:bookmarkStart w:id="11" w:name="_Toc20823303"/>
      <w:r>
        <w:rPr>
          <w:rFonts w:hint="eastAsia" w:ascii="仿宋" w:hAnsi="仿宋" w:eastAsia="仿宋"/>
          <w:sz w:val="28"/>
          <w:szCs w:val="28"/>
        </w:rPr>
        <w:t xml:space="preserve">22.评标委员会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 开标后，代理公司将立即组织评标委员会（以下简称评委会）进行评标。</w:t>
      </w:r>
      <w:r/>
    </w:p>
    <w:p>
      <w:pPr>
        <w:spacing w:line="520" w:lineRule="exact"/>
        <w:rPr>
          <w:rFonts w:hint="eastAsia"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  22.3 评委会独立工作，负责评审所有投标文件并确定中标</w:t>
      </w:r>
      <w:r>
        <w:rPr>
          <w:rFonts w:hint="eastAsia" w:ascii="仿宋" w:hAnsi="仿宋" w:eastAsia="仿宋"/>
          <w:sz w:val="28"/>
          <w:szCs w:val="28"/>
          <w:lang w:eastAsia="zh-CN"/>
        </w:rPr>
        <w:t xml:space="preserve">候选人</w:t>
      </w:r>
      <w:r>
        <w:rPr>
          <w:rFonts w:hint="eastAsia" w:ascii="仿宋" w:hAnsi="仿宋" w:eastAsia="仿宋"/>
          <w:sz w:val="28"/>
          <w:szCs w:val="28"/>
        </w:rPr>
        <w:t xml:space="preserve">。</w:t>
      </w:r>
      <w:r/>
    </w:p>
    <w:p>
      <w:pPr>
        <w:spacing w:line="520" w:lineRule="exact"/>
        <w:rPr>
          <w:rFonts w:hint="eastAsia" w:ascii="仿宋" w:hAnsi="仿宋" w:eastAsia="仿宋"/>
          <w:sz w:val="28"/>
          <w:szCs w:val="28"/>
        </w:rPr>
      </w:pPr>
      <w:r>
        <w:rPr>
          <w:rFonts w:hint="eastAsia" w:ascii="仿宋" w:hAnsi="仿宋" w:eastAsia="仿宋"/>
          <w:sz w:val="28"/>
          <w:szCs w:val="28"/>
        </w:rPr>
        <w:t xml:space="preserve">23．评标过程的保密与公正</w:t>
      </w:r>
      <w:bookmarkEnd w:id="9"/>
      <w:r/>
      <w:bookmarkEnd w:id="10"/>
      <w:r/>
      <w:bookmarkEnd w:id="11"/>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23.1 凡是与审查、澄清、评价和比较投标的有关资料以及授标建议等，采购人、评委、代理公司均不得向供应商或与评标无关的其他人员透露。</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23.2 在评标过程中，供应商不得以任何行为影响评标过程，否则其投标文件将被作为无效投标文件。</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代理公司和评标委员会不向未中标的供应商解释未中标原因，也不公布评标过程中的相关细节。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采用综合评分法的项目，未中标的供应商可于中标结果公告期限届满之日起通过苏采云系统查看自己的评审得分及排序情况。</w:t>
      </w:r>
      <w:r/>
    </w:p>
    <w:p>
      <w:pPr>
        <w:spacing w:line="520" w:lineRule="exact"/>
        <w:rPr>
          <w:rFonts w:hint="eastAsia" w:ascii="仿宋" w:hAnsi="仿宋" w:eastAsia="仿宋"/>
          <w:sz w:val="28"/>
          <w:szCs w:val="28"/>
        </w:rPr>
      </w:pPr>
      <w:r/>
      <w:bookmarkStart w:id="12" w:name="_Toc20823304"/>
      <w:r/>
      <w:bookmarkStart w:id="13" w:name="_Toc513029232"/>
      <w:r/>
      <w:bookmarkStart w:id="14" w:name="_Toc16938548"/>
      <w:r>
        <w:rPr>
          <w:rFonts w:hint="eastAsia" w:ascii="仿宋" w:hAnsi="仿宋" w:eastAsia="仿宋"/>
          <w:sz w:val="28"/>
          <w:szCs w:val="28"/>
        </w:rPr>
        <w:t xml:space="preserve">24．投标文件的澄清</w:t>
      </w:r>
      <w:bookmarkEnd w:id="12"/>
      <w:r/>
      <w:bookmarkEnd w:id="13"/>
      <w:r/>
      <w:bookmarkEnd w:id="14"/>
      <w:r/>
      <w:r/>
    </w:p>
    <w:p>
      <w:pPr>
        <w:ind w:firstLine="560"/>
        <w:spacing w:line="520" w:lineRule="exact"/>
        <w:rPr>
          <w:rFonts w:hint="eastAsia" w:ascii="仿宋" w:hAnsi="仿宋" w:eastAsia="仿宋"/>
          <w:sz w:val="28"/>
          <w:szCs w:val="28"/>
        </w:rPr>
      </w:pPr>
      <w:r/>
      <w:bookmarkStart w:id="15" w:name="_Toc20823305"/>
      <w:r/>
      <w:bookmarkStart w:id="16" w:name="_Toc16938549"/>
      <w:r/>
      <w:bookmarkStart w:id="17" w:name="_Toc513029233"/>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评标期间，评委会对投标文件中含义不明确、同类问题表述不一致或者有明显文字和计算错误的内容，有权要求供应商作出必要的澄清、说明或者补正。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供应商的澄清、说明或者补正不得超出投标文件的范围或者改变投标文件的实质性内容。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w:t>
      </w:r>
      <w:r>
        <w:rPr>
          <w:rFonts w:hint="eastAsia" w:ascii="仿宋" w:hAnsi="仿宋" w:eastAsia="仿宋"/>
          <w:sz w:val="28"/>
          <w:szCs w:val="28"/>
        </w:rPr>
        <w:t xml:space="preserve">供应商</w:t>
      </w:r>
      <w:r>
        <w:rPr>
          <w:rFonts w:ascii="仿宋" w:hAnsi="仿宋" w:eastAsia="仿宋"/>
          <w:sz w:val="28"/>
          <w:szCs w:val="28"/>
        </w:rPr>
        <w:t xml:space="preserve">都做澄清要求</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 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24.3 接到评委会澄清、说明和补正要求的供应商如未按规定做出澄清、说明和补正，其风险由供应商自行承担。</w:t>
      </w:r>
      <w:r/>
    </w:p>
    <w:p>
      <w:pPr>
        <w:spacing w:line="520" w:lineRule="exact"/>
        <w:rPr>
          <w:rFonts w:hint="eastAsia" w:ascii="仿宋" w:hAnsi="仿宋" w:eastAsia="仿宋"/>
          <w:sz w:val="28"/>
          <w:szCs w:val="28"/>
        </w:rPr>
      </w:pPr>
      <w:r>
        <w:rPr>
          <w:rFonts w:hint="eastAsia" w:ascii="仿宋" w:hAnsi="仿宋" w:eastAsia="仿宋"/>
          <w:sz w:val="28"/>
          <w:szCs w:val="28"/>
        </w:rPr>
        <w:t xml:space="preserve">25.对投标文件的初审</w:t>
      </w:r>
      <w:bookmarkEnd w:id="15"/>
      <w:r/>
      <w:bookmarkEnd w:id="16"/>
      <w:r/>
      <w:bookmarkEnd w:id="1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 投标文件初审分为资格审查和符合性审查。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采购人在进行资格性审查的同时，将在“信用中国”网站（www.creditchina.gov.cn）查询供应商的信用记录，以确定供应商是否具备投标资格,查询结果留存并归档。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25.1.3 未通过资格审查或符合性审查的供应商，代理公司将在苏采云系统中告知未通过资格审查或符合性审查的原因，评审结束后，代理公司将不再告知未通过资格审查或符合性审查的原因。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如果投标文件实质上没有响应招标文件的要求，评委会将予以拒绝，供应商不得通过修改或撤销不合要求的偏离或保留而使其投标成为实质性响应的投标。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苏采云系统告知供应商</w:t>
      </w:r>
      <w:r>
        <w:rPr>
          <w:rFonts w:ascii="仿宋" w:hAnsi="仿宋" w:eastAsia="仿宋"/>
          <w:sz w:val="28"/>
          <w:szCs w:val="28"/>
        </w:rPr>
        <w:t xml:space="preserve">，</w:t>
      </w:r>
      <w:r>
        <w:rPr>
          <w:rFonts w:hint="eastAsia" w:ascii="仿宋" w:hAnsi="仿宋" w:eastAsia="仿宋"/>
          <w:sz w:val="28"/>
          <w:szCs w:val="28"/>
        </w:rPr>
        <w:t xml:space="preserve">调整后的价格应对供应商具有约束力。如果供应商不接受修正后的价格，则其投标将被拒绝。</w:t>
      </w:r>
      <w:r/>
    </w:p>
    <w:p>
      <w:pPr>
        <w:ind w:firstLine="560"/>
        <w:spacing w:line="520" w:lineRule="exact"/>
        <w:rPr>
          <w:rFonts w:hint="eastAsia" w:ascii="仿宋" w:hAnsi="仿宋" w:eastAsia="仿宋"/>
          <w:sz w:val="28"/>
          <w:szCs w:val="28"/>
        </w:rPr>
      </w:pPr>
      <w:r/>
      <w:bookmarkStart w:id="18" w:name="_Toc16938550"/>
      <w:r/>
      <w:bookmarkStart w:id="19" w:name="_Toc513029234"/>
      <w:r/>
      <w:bookmarkStart w:id="20" w:name="_Toc20823306"/>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w:t>
      </w:r>
      <w:r>
        <w:rPr>
          <w:rFonts w:hint="eastAsia" w:ascii="仿宋" w:hAnsi="仿宋" w:eastAsia="仿宋"/>
          <w:sz w:val="28"/>
          <w:szCs w:val="28"/>
        </w:rPr>
        <w:t xml:space="preserve">供应商</w:t>
      </w:r>
      <w:r>
        <w:rPr>
          <w:rFonts w:ascii="仿宋" w:hAnsi="仿宋" w:eastAsia="仿宋"/>
          <w:sz w:val="28"/>
          <w:szCs w:val="28"/>
        </w:rPr>
        <w:t xml:space="preserve">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w:t>
      </w:r>
      <w:r>
        <w:rPr>
          <w:rFonts w:hint="eastAsia" w:ascii="仿宋" w:hAnsi="仿宋" w:eastAsia="仿宋"/>
          <w:sz w:val="28"/>
          <w:szCs w:val="28"/>
        </w:rPr>
        <w:t xml:space="preserve">供应商</w:t>
      </w:r>
      <w:r>
        <w:rPr>
          <w:rFonts w:ascii="仿宋" w:hAnsi="仿宋" w:eastAsia="仿宋"/>
          <w:sz w:val="28"/>
          <w:szCs w:val="28"/>
        </w:rPr>
        <w:t xml:space="preserve">，其他投标无效。</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w:t>
      </w:r>
      <w:r>
        <w:rPr>
          <w:rFonts w:hint="eastAsia" w:ascii="仿宋" w:hAnsi="仿宋" w:eastAsia="仿宋"/>
          <w:sz w:val="28"/>
          <w:szCs w:val="28"/>
        </w:rPr>
        <w:t xml:space="preserve">供应商</w:t>
      </w:r>
      <w:r>
        <w:rPr>
          <w:rFonts w:ascii="仿宋" w:hAnsi="仿宋" w:eastAsia="仿宋"/>
          <w:sz w:val="28"/>
          <w:szCs w:val="28"/>
        </w:rPr>
        <w:t xml:space="preserve">参加同一合同项下投标的，按一家</w:t>
      </w:r>
      <w:r>
        <w:rPr>
          <w:rFonts w:hint="eastAsia" w:ascii="仿宋" w:hAnsi="仿宋" w:eastAsia="仿宋"/>
          <w:sz w:val="28"/>
          <w:szCs w:val="28"/>
        </w:rPr>
        <w:t xml:space="preserve">供应商</w:t>
      </w:r>
      <w:r>
        <w:rPr>
          <w:rFonts w:ascii="仿宋" w:hAnsi="仿宋" w:eastAsia="仿宋"/>
          <w:sz w:val="28"/>
          <w:szCs w:val="28"/>
        </w:rPr>
        <w:t xml:space="preserve">计算，评审后得分最高的同品牌</w:t>
      </w:r>
      <w:r>
        <w:rPr>
          <w:rFonts w:hint="eastAsia" w:ascii="仿宋" w:hAnsi="仿宋" w:eastAsia="仿宋"/>
          <w:sz w:val="28"/>
          <w:szCs w:val="28"/>
        </w:rPr>
        <w:t xml:space="preserve">供应商</w:t>
      </w:r>
      <w:r>
        <w:rPr>
          <w:rFonts w:ascii="仿宋" w:hAnsi="仿宋" w:eastAsia="仿宋"/>
          <w:sz w:val="28"/>
          <w:szCs w:val="28"/>
        </w:rPr>
        <w:t xml:space="preserve">获得</w:t>
      </w:r>
      <w:r>
        <w:rPr>
          <w:rFonts w:hint="eastAsia" w:ascii="仿宋" w:hAnsi="仿宋" w:eastAsia="仿宋"/>
          <w:sz w:val="28"/>
          <w:szCs w:val="28"/>
        </w:rPr>
        <w:t xml:space="preserve">中标供应商</w:t>
      </w:r>
      <w:r>
        <w:rPr>
          <w:rFonts w:ascii="仿宋" w:hAnsi="仿宋" w:eastAsia="仿宋"/>
          <w:sz w:val="28"/>
          <w:szCs w:val="28"/>
        </w:rPr>
        <w:t xml:space="preserve">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w:t>
      </w:r>
      <w:r>
        <w:rPr>
          <w:rFonts w:hint="eastAsia" w:ascii="仿宋" w:hAnsi="仿宋" w:eastAsia="仿宋"/>
          <w:sz w:val="28"/>
          <w:szCs w:val="28"/>
        </w:rPr>
        <w:t xml:space="preserve">供应商</w:t>
      </w:r>
      <w:r>
        <w:rPr>
          <w:rFonts w:ascii="仿宋" w:hAnsi="仿宋" w:eastAsia="仿宋"/>
          <w:sz w:val="28"/>
          <w:szCs w:val="28"/>
        </w:rPr>
        <w:t xml:space="preserve">不作为中标候选人。</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w:t>
      </w:r>
      <w:r>
        <w:rPr>
          <w:rFonts w:hint="eastAsia" w:ascii="仿宋" w:hAnsi="仿宋" w:eastAsia="仿宋"/>
          <w:sz w:val="28"/>
          <w:szCs w:val="28"/>
        </w:rPr>
        <w:t xml:space="preserve">供应商</w:t>
      </w:r>
      <w:r>
        <w:rPr>
          <w:rFonts w:ascii="仿宋" w:hAnsi="仿宋" w:eastAsia="仿宋"/>
          <w:sz w:val="28"/>
          <w:szCs w:val="28"/>
        </w:rPr>
        <w:t xml:space="preserve">提供的核心产品品牌相同的，按前两款规定处理。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25.7 供应商在开、评标全过程中应保持通讯畅通，及时登录苏采云系统查阅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并安排专人与代理公司及评标委员会联系。</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6.无效投标条款和废标条款</w:t>
      </w:r>
      <w:r/>
    </w:p>
    <w:p>
      <w:pPr>
        <w:ind w:firstLine="560"/>
        <w:spacing w:line="520" w:lineRule="exact"/>
        <w:rPr>
          <w:rFonts w:hint="eastAsia" w:ascii="仿宋" w:hAnsi="仿宋" w:eastAsia="仿宋"/>
          <w:sz w:val="28"/>
          <w:szCs w:val="28"/>
        </w:rPr>
      </w:pPr>
      <w:r/>
      <w:bookmarkStart w:id="21" w:name="_Toc20823307"/>
      <w:r/>
      <w:bookmarkStart w:id="22" w:name="_Toc513029235"/>
      <w:r/>
      <w:bookmarkStart w:id="23" w:name="_Toc16938551"/>
      <w:r>
        <w:rPr>
          <w:rFonts w:hint="eastAsia" w:ascii="仿宋" w:hAnsi="仿宋" w:eastAsia="仿宋"/>
          <w:sz w:val="28"/>
          <w:szCs w:val="28"/>
        </w:rPr>
        <w:t xml:space="preserve">26.1无效投标条款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供应商在苏采云系统规定的时间内未成功解密电子投标文件的。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供应商未按照招标文件要求上传电子投标文件的。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同一供应商提交两个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供应商不具备招标文件中规定资格要求的。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供应商的报价超过了采购预算或最高限价的。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 不符合招标文件中规定的实质性要求和条件的。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 评标委员会按照苏财购〔2025〕62号文件要求启动异常低价投标（响应)审查的情形和具体要求，包括:</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(一)评审过程中出现下列情形之一的，评审委员会应当启动异常低价投标(响应)审查程序: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1.投标(响应)报价低于采购项目预算50%的，即投标(响应)报价&lt;采购项目预算x50%;</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2.投标(响应)报价低于采购项目最高限价45%的，即投标(响应)报价&lt;采购项目最高限价x45%;</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3.评审委员会认定的供应商报价过低、有可能影响产品质量或者不能诚信履约的其他情形。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通过苏采云系统要求其在合理的时间内提供说明，必要时提交相关证明材料；供应商不能证明其报价合理性的，评标委员会应当将其作为无效投标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 投标文件未按照招标文件要求加盖CA电子公章的；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其他法律、法规及本招标文件规定的属无效投标的情形。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 废标条款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26.2.1 符合专业条件的供应商或者对招标文件作实质响应的供应商不足三家的。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26.2.2 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26.2.3 因重大变故，采购任务取消的。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 投标截止时间结束后参加投标的供应商不足三家的处理：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 如出现投标截止时间结束后参加投标的供应商或者在评标期间对招标文件做出实质响应的供应商不足三家情况，按政府采购相关规定执行。</w:t>
      </w:r>
      <w:bookmarkEnd w:id="21"/>
      <w:r/>
      <w:bookmarkEnd w:id="22"/>
      <w:r/>
      <w:bookmarkEnd w:id="23"/>
      <w:r/>
      <w:r/>
    </w:p>
    <w:p>
      <w:pPr>
        <w:spacing w:line="520" w:lineRule="exact"/>
        <w:rPr>
          <w:rFonts w:hint="eastAsia" w:ascii="仿宋" w:hAnsi="仿宋" w:eastAsia="仿宋"/>
          <w:b/>
          <w:sz w:val="32"/>
          <w:szCs w:val="32"/>
        </w:rPr>
      </w:pPr>
      <w:r/>
      <w:bookmarkStart w:id="24" w:name="_Toc120614219"/>
      <w:r>
        <w:rPr>
          <w:rFonts w:hint="eastAsia" w:ascii="仿宋" w:hAnsi="仿宋" w:eastAsia="仿宋"/>
          <w:b/>
          <w:sz w:val="32"/>
          <w:szCs w:val="32"/>
        </w:rPr>
        <w:t xml:space="preserve">六、定标</w:t>
      </w:r>
      <w:bookmarkEnd w:id="24"/>
      <w:r/>
      <w:r/>
    </w:p>
    <w:p>
      <w:pPr>
        <w:spacing w:line="520" w:lineRule="exact"/>
        <w:rPr>
          <w:rFonts w:hint="eastAsia" w:ascii="仿宋" w:hAnsi="仿宋" w:eastAsia="仿宋"/>
          <w:sz w:val="28"/>
          <w:szCs w:val="28"/>
        </w:rPr>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rPr>
        <w:t xml:space="preserve">7.确定</w:t>
      </w:r>
      <w:bookmarkEnd w:id="26"/>
      <w:r/>
      <w:bookmarkEnd w:id="27"/>
      <w:r>
        <w:rPr>
          <w:rFonts w:hint="eastAsia" w:ascii="仿宋" w:hAnsi="仿宋" w:eastAsia="仿宋"/>
          <w:sz w:val="28"/>
          <w:szCs w:val="28"/>
        </w:rPr>
        <w:t xml:space="preserve">中标单位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采购人应根据评委会推荐的中标候选人确定中标供应商。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 代理公司将在“江苏省政府采购网”、“淮安市政府采购网”发布中标公告，公告期限为1个工作日。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 若有充分证据证明，中标供应商出现下列情况之一的，一经查实，将被取消中标资格：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27.4.1 提供虚假材料谋取中标的。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27.4.2 向采购人、代理公司行贿或者提供其他不正当利益的。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27.4.4 与采购人或者其他供应商恶意串通的。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27.4.5 采取不正当手段诋毁、排挤其他供应商的。</w:t>
      </w:r>
      <w:r/>
    </w:p>
    <w:p>
      <w:pPr>
        <w:ind w:firstLine="560"/>
        <w:spacing w:line="520" w:lineRule="exact"/>
        <w:rPr>
          <w:rFonts w:hint="eastAsia" w:ascii="仿宋" w:hAnsi="仿宋" w:eastAsia="仿宋"/>
          <w:sz w:val="28"/>
          <w:szCs w:val="28"/>
        </w:rPr>
      </w:pPr>
      <w:r/>
      <w:bookmarkStart w:id="28"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视为供应商</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27.5.1不同供应商的投标文件由同一单位或者个人编制；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27.5.2不同供应商委托同一单位或者个人办理投标事宜；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27.5.3 不同供应商的投标文件载明的项目管理成员或者联系人员为同一人；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27.5.4不同供应商的投标文件异常一致或者投标报价呈规律性差异；</w:t>
      </w:r>
      <w:r/>
    </w:p>
    <w:p>
      <w:pPr>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28.1 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28.2 上述应知其权益受到损害之日是指: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28.3 质疑供应商是指直接参加本次投标活动的供应商，未参加投标活动的供应商或在投标活动中自身权益未受到损害的供应商所提出的质疑不予受理。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28.4 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28.5 质疑函应当包括以下主要内容，附上相关证明材料。否则，采购人不予受理。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olor w:val="auto"/>
          <w:sz w:val="28"/>
          <w:szCs w:val="28"/>
        </w:rPr>
      </w:pPr>
      <w:r>
        <w:rPr>
          <w:rFonts w:hint="eastAsia" w:ascii="仿宋" w:hAnsi="仿宋" w:eastAsia="仿宋"/>
          <w:sz w:val="28"/>
          <w:szCs w:val="28"/>
        </w:rPr>
        <w:t xml:space="preserve">28.6 采购人收到质疑函后，将对质疑的形式和内容进行审查，如质疑函内容、格式不符合规定，采购人将告知质疑人进行补正。质疑人应当在法定质疑</w:t>
      </w:r>
      <w:r>
        <w:rPr>
          <w:rFonts w:hint="eastAsia" w:ascii="仿宋" w:hAnsi="仿宋" w:eastAsia="仿宋"/>
          <w:color w:val="auto"/>
          <w:sz w:val="28"/>
          <w:szCs w:val="28"/>
        </w:rPr>
        <w:t xml:space="preserve">期限内进行补正并重新提交质疑函，拒不补正或者超过法定期限后未重新提交质疑函的，为无效质疑，采购人有权不予受理。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28.7 对于内容、格式符合规定的质疑函，采购人将在七个工作日内以书面形式作出答复，但质疑答复的内容不涉及商业秘密。</w:t>
      </w:r>
      <w:r/>
    </w:p>
    <w:p>
      <w:pPr>
        <w:ind w:firstLine="560"/>
        <w:spacing w:line="520" w:lineRule="exact"/>
        <w:rPr>
          <w:rFonts w:hint="eastAsia" w:ascii="仿宋" w:hAnsi="仿宋" w:eastAsia="仿宋"/>
          <w:sz w:val="28"/>
          <w:szCs w:val="28"/>
        </w:rPr>
      </w:pPr>
      <w:r>
        <w:rPr>
          <w:rFonts w:hint="eastAsia" w:ascii="仿宋" w:hAnsi="仿宋" w:eastAsia="仿宋"/>
          <w:color w:val="auto"/>
          <w:sz w:val="28"/>
          <w:szCs w:val="28"/>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w:t>
      </w:r>
      <w:r>
        <w:rPr>
          <w:rFonts w:hint="eastAsia" w:ascii="仿宋" w:hAnsi="仿宋" w:eastAsia="仿宋"/>
          <w:sz w:val="28"/>
          <w:szCs w:val="28"/>
        </w:rPr>
        <w:t xml:space="preserve">应的行政处罚。</w:t>
      </w:r>
      <w:r/>
    </w:p>
    <w:p>
      <w:pPr>
        <w:spacing w:line="520" w:lineRule="exact"/>
        <w:rPr>
          <w:rFonts w:hint="eastAsia" w:ascii="仿宋" w:hAnsi="仿宋" w:eastAsia="仿宋"/>
          <w:sz w:val="28"/>
          <w:szCs w:val="28"/>
        </w:rPr>
      </w:pPr>
      <w:r>
        <w:rPr>
          <w:rFonts w:hint="eastAsia" w:ascii="仿宋" w:hAnsi="仿宋" w:eastAsia="仿宋"/>
          <w:sz w:val="28"/>
          <w:szCs w:val="28"/>
        </w:rPr>
        <w:t xml:space="preserve">29.中标通知书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spacing w:line="520" w:lineRule="exact"/>
        <w:rPr>
          <w:rFonts w:hint="eastAsia" w:ascii="仿宋" w:hAnsi="仿宋" w:eastAsia="仿宋"/>
          <w:b/>
          <w:sz w:val="32"/>
          <w:szCs w:val="32"/>
        </w:rPr>
      </w:pPr>
      <w:r/>
      <w:bookmarkStart w:id="29" w:name="_Toc20823308"/>
      <w:r/>
      <w:bookmarkStart w:id="30" w:name="_Toc16938552"/>
      <w:r/>
      <w:bookmarkStart w:id="31" w:name="_Toc120614220"/>
      <w:r/>
      <w:bookmarkStart w:id="32" w:name="_Toc513029236"/>
      <w:r>
        <w:rPr>
          <w:rFonts w:hint="eastAsia" w:ascii="仿宋" w:hAnsi="仿宋" w:eastAsia="仿宋"/>
          <w:b/>
          <w:sz w:val="32"/>
          <w:szCs w:val="32"/>
        </w:rPr>
        <w:t xml:space="preserve">七、授予合同</w:t>
      </w:r>
      <w:bookmarkEnd w:id="29"/>
      <w:r/>
      <w:bookmarkEnd w:id="30"/>
      <w:r/>
      <w:bookmarkEnd w:id="31"/>
      <w:r/>
      <w:bookmarkEnd w:id="32"/>
      <w:r/>
      <w:r/>
    </w:p>
    <w:p>
      <w:pPr>
        <w:spacing w:line="520" w:lineRule="exact"/>
        <w:rPr>
          <w:rFonts w:hint="eastAsia" w:ascii="仿宋" w:hAnsi="仿宋" w:eastAsia="仿宋"/>
          <w:sz w:val="28"/>
          <w:szCs w:val="28"/>
        </w:rPr>
      </w:pPr>
      <w:r/>
      <w:bookmarkStart w:id="33" w:name="_Toc20823309"/>
      <w:r/>
      <w:bookmarkStart w:id="34" w:name="_Toc513029237"/>
      <w:r/>
      <w:bookmarkStart w:id="35" w:name="_Toc16938553"/>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30.l 中标供应商应当在中标通知书发出之日起三十日内，按照招标文件确定的事项与采购人签订政府采购合同。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30.2 招标文件、中标供应商的投标文件及招标过程中有关澄清、承诺文件均应作为合同附件。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spacing w:line="520" w:lineRule="exact"/>
        <w:rPr>
          <w:rFonts w:hint="eastAsia"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884"/>
        <w:spacing w:line="520" w:lineRule="exact"/>
        <w:rPr>
          <w:rFonts w:hint="eastAsia" w:ascii="仿宋" w:hAnsi="仿宋" w:eastAsia="仿宋"/>
          <w:sz w:val="28"/>
          <w:szCs w:val="28"/>
        </w:rPr>
      </w:pPr>
      <w:r>
        <w:rPr>
          <w:rFonts w:hint="eastAsia" w:ascii="仿宋" w:hAnsi="仿宋" w:eastAsia="仿宋"/>
          <w:sz w:val="28"/>
          <w:szCs w:val="28"/>
        </w:rPr>
        <w:t xml:space="preserve">32.履约保证金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本项目不收取履约保证金。</w:t>
      </w:r>
      <w:bookmarkEnd w:id="33"/>
      <w:r/>
      <w:bookmarkEnd w:id="34"/>
      <w:r/>
      <w:bookmarkEnd w:id="35"/>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 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33.1.2 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 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（1）供应商须按照招标文件的要求提供相应的《企业声明函》，详见招标文件第六章示范格式。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rPr>
        <w:t xml:space="preserve">34. 节能、环保政策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34.2 节能产品（本项目不涉及）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34.3 环保产品（本项目不涉及）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 xml:space="preserve">通知》（财库〔2019〕19号）执行。国家对品目清单进行调整的，按照最新调整的品目清单执行。</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35．政府绿色采购</w:t>
      </w:r>
      <w:r/>
    </w:p>
    <w:p>
      <w:pPr>
        <w:ind w:firstLine="280"/>
        <w:spacing w:line="520" w:lineRule="exact"/>
        <w:rPr>
          <w:rFonts w:hint="eastAsia" w:ascii="仿宋" w:hAnsi="仿宋" w:eastAsia="仿宋"/>
          <w:bCs/>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900"/>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35.2 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,在供货、安装过程中能到做到低碳物流、环保节约、提高资源利用率；涉及设备运维参考《绿色数据中心政府采购需求标准（试行）》（财库【2023】7号文）执行。</w:t>
      </w:r>
      <w:r/>
    </w:p>
    <w:p>
      <w:pPr>
        <w:pStyle w:val="900"/>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35.3 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36. 履约资金扶持政策</w:t>
      </w:r>
      <w:r/>
    </w:p>
    <w:p>
      <w:pPr>
        <w:pStyle w:val="900"/>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36.1 政府采购合同信用融资是为支持中小企业发展，缓解中小企业融资难题推出的一项融资服务举措，中标供应商可凭政府采购合同办理融资贷款。该贷款无需抵押、担保，按照双方自愿的原则提供便捷、优惠的贷款服务。详情请见江苏政府采购网“政采贷”专栏。</w:t>
      </w:r>
      <w:r/>
    </w:p>
    <w:p>
      <w:pPr>
        <w:pStyle w:val="900"/>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36.2有融资贷款需求的中标供应商，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37.</w:t>
      </w:r>
      <w:r>
        <w:rPr>
          <w:rFonts w:hint="eastAsia" w:ascii="仿宋" w:hAnsi="仿宋" w:eastAsia="仿宋" w:cs="仿宋"/>
          <w:b/>
          <w:bCs/>
          <w:sz w:val="28"/>
          <w:szCs w:val="28"/>
          <w:highlight w:val="none"/>
        </w:rPr>
        <w:t xml:space="preserve">采购本国产品的支持政策</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3 投标人需按照招标文件的要求提供《关于符合本国产品标准的声明函》（以下简称《声明函》，详见第六章“示范格式六”），如不提供将不享受本国产品价格评审优惠。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4 投标人需在《声明函》中逐一、准确填写产品名称、厂名、生产厂址三项信息，三项信息中任意一项未填写的视为该项产品不符合本国产品标准，不享受本国产品价格评审优惠。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注：本项目对采购本国产品给予政策支持；适用本国产品标准的货物具体是指《政</w:t>
      </w:r>
      <w:r>
        <w:rPr>
          <w:rFonts w:hint="eastAsia" w:ascii="仿宋" w:hAnsi="仿宋" w:eastAsia="仿宋" w:cs="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0"/>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p>
    <w:p>
      <w:pPr>
        <w:pStyle w:val="660"/>
        <w:ind w:firstLine="560"/>
        <w:spacing w:line="360" w:lineRule="auto"/>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一、评委会根据招标文件中规定的评标标准对供应商进行综合评审，最终按综合评审得分由高到低的顺序推荐出3名中标候选人。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w:t>
      </w:r>
      <w:r>
        <w:rPr>
          <w:rFonts w:hint="eastAsia" w:ascii="仿宋" w:hAnsi="仿宋" w:eastAsia="仿宋"/>
          <w:sz w:val="28"/>
          <w:szCs w:val="28"/>
        </w:rPr>
        <w:t xml:space="preserve">低顺序排列。得分相同的，按投标报价由低到高顺序排列。得分且投标报价相同的，按技术指</w:t>
      </w:r>
      <w:r>
        <w:rPr>
          <w:rFonts w:hint="eastAsia" w:ascii="仿宋" w:hAnsi="仿宋" w:eastAsia="仿宋"/>
          <w:sz w:val="28"/>
          <w:szCs w:val="28"/>
        </w:rPr>
        <w:t xml:space="preserve">标优劣顺序排列。</w:t>
      </w:r>
      <w:r/>
    </w:p>
    <w:p>
      <w:pPr>
        <w:pStyle w:val="660"/>
        <w:ind w:firstLine="482"/>
        <w:spacing w:line="360" w:lineRule="auto"/>
        <w:rPr>
          <w:rFonts w:hint="eastAsia"/>
          <w:sz w:val="24"/>
          <w:szCs w:val="24"/>
        </w:rPr>
      </w:pPr>
      <w:r>
        <w:rPr>
          <w:rFonts w:hint="eastAsia" w:hAnsi="宋体"/>
          <w:b/>
          <w:bCs/>
          <w:sz w:val="24"/>
          <w:szCs w:val="24"/>
        </w:rPr>
        <w:t xml:space="preserve">重要提示：为防止围标串标和低价恶意竞标的行为，评审时如发现投标供应商的报价明显高于市场价格或低于成本价，投标供应商必须按照评审小组的要求做出书面说明并提供相关证明材料。如投标供应商不能合理说明原因并提供相关证明材料的，评审小组将对其投标作无效处理，同时由采购组织机构向同级财政部门通报情况，视情将其列入不良供应商名单。</w:t>
      </w:r>
      <w:r/>
    </w:p>
    <w:p>
      <w:pPr>
        <w:ind w:firstLine="560"/>
        <w:spacing w:line="520" w:lineRule="exact"/>
        <w:rPr>
          <w:rFonts w:hint="eastAsia" w:ascii="仿宋" w:hAnsi="仿宋" w:eastAsia="仿宋"/>
          <w:sz w:val="28"/>
        </w:rPr>
      </w:pPr>
      <w:r>
        <w:rPr>
          <w:rFonts w:hint="eastAsia" w:ascii="仿宋" w:hAnsi="仿宋" w:eastAsia="仿宋"/>
          <w:sz w:val="28"/>
          <w:lang w:val="en-US" w:eastAsia="zh-CN"/>
        </w:rPr>
        <w:t xml:space="preserve">四</w:t>
      </w:r>
      <w:r>
        <w:rPr>
          <w:rFonts w:hint="eastAsia" w:ascii="仿宋" w:hAnsi="仿宋" w:eastAsia="仿宋"/>
          <w:sz w:val="28"/>
        </w:rPr>
        <w:t xml:space="preserve">、具体标准:</w:t>
      </w:r>
      <w:r/>
    </w:p>
    <w:tbl>
      <w:tblPr>
        <w:tblStyle w:val="650"/>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1125"/>
        <w:gridCol w:w="6328"/>
        <w:gridCol w:w="788"/>
      </w:tblGrid>
      <w:tr>
        <w:trPr>
          <w:jc w:val="center"/>
          <w:trHeight w:val="1123"/>
        </w:trPr>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类别</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评审项</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评审规则</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分值</w:t>
            </w:r>
            <w:r/>
          </w:p>
        </w:tc>
      </w:tr>
      <w:tr>
        <w:trPr>
          <w:jc w:val="center"/>
          <w:trHeight w:val="705"/>
        </w:trPr>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价格部分</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指标</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满足招标文件要求且报价最低的供应商价格为评标基准价，其价格分为满分。其他供应商的价格分按照下列公式计算（小数点保留两位）:</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报价得分＝（评标基准价/投标报价）×30分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w:t>
            </w:r>
            <w:r/>
          </w:p>
        </w:tc>
      </w:tr>
      <w:tr>
        <w:trPr>
          <w:jc w:val="center"/>
          <w:trHeight w:val="705"/>
        </w:trPr>
        <w:tc>
          <w:tcPr>
            <w:tcBorders>
              <w:top w:val="single" w:color="auto" w:sz="4" w:space="0"/>
              <w:left w:val="single" w:color="auto" w:sz="4" w:space="0"/>
              <w:right w:val="single" w:color="auto" w:sz="4" w:space="0"/>
            </w:tcBorders>
            <w:tcW w:w="13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设备的技术性能情况（</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参数</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技术参数满足要求得1</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rPr>
              <w:t xml:space="preserve">分，</w:t>
            </w:r>
            <w:r>
              <w:rPr>
                <w:rFonts w:hint="eastAsia" w:ascii="仿宋" w:hAnsi="仿宋" w:eastAsia="仿宋" w:cs="仿宋"/>
                <w:sz w:val="28"/>
                <w:szCs w:val="28"/>
                <w:lang w:eastAsia="zh-CN"/>
              </w:rPr>
              <w:t xml:space="preserve">★</w:t>
            </w:r>
            <w:r>
              <w:rPr>
                <w:rFonts w:hint="eastAsia" w:ascii="仿宋" w:hAnsi="仿宋" w:eastAsia="仿宋" w:cs="仿宋"/>
                <w:color w:val="000000"/>
                <w:sz w:val="24"/>
                <w:szCs w:val="24"/>
              </w:rPr>
              <w:t xml:space="preserve">重要参数偏离一项扣</w:t>
            </w:r>
            <w:r>
              <w:rPr>
                <w:rFonts w:hint="eastAsia" w:ascii="仿宋" w:hAnsi="仿宋" w:eastAsia="仿宋" w:cs="仿宋"/>
                <w:color w:val="000000"/>
                <w:sz w:val="24"/>
                <w:szCs w:val="24"/>
                <w:lang w:val="en-US" w:eastAsia="zh-CN"/>
              </w:rPr>
              <w:t xml:space="preserve">0.5</w:t>
            </w:r>
            <w:r>
              <w:rPr>
                <w:rFonts w:hint="eastAsia" w:ascii="仿宋" w:hAnsi="仿宋" w:eastAsia="仿宋" w:cs="仿宋"/>
                <w:color w:val="000000"/>
                <w:sz w:val="24"/>
                <w:szCs w:val="24"/>
              </w:rPr>
              <w:t xml:space="preserve">分，其他参数偏离一项扣</w:t>
            </w:r>
            <w:r>
              <w:rPr>
                <w:rFonts w:hint="eastAsia" w:ascii="仿宋" w:hAnsi="仿宋" w:eastAsia="仿宋" w:cs="仿宋"/>
                <w:color w:val="000000"/>
                <w:sz w:val="24"/>
                <w:szCs w:val="24"/>
                <w:lang w:val="en-US" w:eastAsia="zh-CN"/>
              </w:rPr>
              <w:t xml:space="preserve">0.1</w:t>
            </w:r>
            <w:r>
              <w:rPr>
                <w:rFonts w:hint="eastAsia" w:ascii="仿宋" w:hAnsi="仿宋" w:eastAsia="仿宋" w:cs="仿宋"/>
                <w:color w:val="000000"/>
                <w:sz w:val="24"/>
                <w:szCs w:val="24"/>
              </w:rPr>
              <w:t xml:space="preserve">分，本项分值扣完即止。所有标★重要参数，投标人均须提供具备省级或国家级认可CMA资质检测机构出具的有效检测报告作为佐证材料，未按要求提供的，一律按参数偏离认定</w:t>
            </w:r>
            <w:r>
              <w:rPr>
                <w:rFonts w:hint="eastAsia" w:ascii="仿宋" w:hAnsi="仿宋" w:eastAsia="仿宋" w:cs="仿宋"/>
                <w:color w:val="000000"/>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0</w:t>
            </w:r>
            <w:r/>
          </w:p>
        </w:tc>
      </w:tr>
      <w:tr>
        <w:trPr>
          <w:jc w:val="center"/>
          <w:trHeight w:val="705"/>
        </w:trPr>
        <w:tc>
          <w:tcPr>
            <w:tcBorders>
              <w:left w:val="single" w:color="auto" w:sz="4" w:space="0"/>
              <w:right w:val="single" w:color="auto" w:sz="4" w:space="0"/>
            </w:tcBorders>
            <w:tcW w:w="1341" w:type="dxa"/>
            <w:vAlign w:val="center"/>
            <w:vMerge w:val="restart"/>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方案部分（4</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技术能力</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4"/>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根据供应商所投产品生产工艺情况及标准化程度的响应情况由专家进行打分。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品生产工艺情况及标准化程度内容全面、描述详细，标准化要求能够完全紧密结合项目实际，能够体现与工艺的合理性，优于采购需求的，得5分；方案工艺情况有具体内容、标准化程度符合项目实际，可以实现采购需求的，得3分；方案工艺情况、标准化程度一般，得2分；方案工艺情况有内容、有标准化，但不具体，得1分；没有内容不得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2.根据供应商对投标产品主要功能性部件及设备整体性能详细描述，提供的相关技术资料由专家进行打分。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主要功能性部件及设备整体性能详细描述内容全</w:t>
            </w:r>
            <w:r>
              <w:rPr>
                <w:rFonts w:hint="eastAsia" w:ascii="仿宋" w:hAnsi="仿宋" w:eastAsia="仿宋" w:cs="仿宋"/>
                <w:color w:val="auto"/>
                <w:sz w:val="24"/>
                <w:szCs w:val="24"/>
              </w:rPr>
              <w:t xml:space="preserve">面、性能先进性佐证材料齐全，配置要求能够完全紧密结合项目实际，液压和电控原理明晰，优于采购需求的，得5分；方案配置有具体内容、有性能先进性佐证材料，配置能够结合项目实际，可以实现采购需求的，得3分；方案配置内容、先进性佐证、配置一般，得2分；方案配置有内容、有佐证，但不具体，得1分</w:t>
            </w:r>
            <w:r>
              <w:rPr>
                <w:rFonts w:hint="eastAsia" w:ascii="仿宋" w:hAnsi="仿宋" w:eastAsia="仿宋" w:cs="仿宋"/>
                <w:color w:val="000000"/>
                <w:sz w:val="24"/>
                <w:szCs w:val="24"/>
              </w:rPr>
              <w:t xml:space="preserve">；没有内容不得分。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整体组织实施方案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方案完整、措施齐全、针对性强且优于采购需求的得 </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 分；方案较全、基本满足需求的得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 分；方案简单、针对性一般得 </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送货安装及调试方案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0"/>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方案完整、措施齐全、针对性强且优于采购需求的得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分；方案较全、基本满足需求的得 </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分；方案简单、针对性一般得 </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验收及培训方案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0"/>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有明确验收标准、培训内容、培训计划，且完整齐全、针对性强优于需求的得 </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 分；较全、基本满足得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分；简单一般得 </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 分；未提供不得分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质量控制方案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0"/>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有完善质量保证体系和控制措施，且完整齐全、针对性强优于需求的得 </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 分；较全、基本满足得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 分；简单一般得 </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交付验收方案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0"/>
              </w:numP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方案完整规范，交付计划清晰、验收标准明确、验收流程详细、验收资料齐全、验收组织与人员安排到位，措施齐全、针对性强，完全满足并优于采购需求的得5分；方案较完整，有交付安排、有验收依据、有验收流程，措施较齐全、针对性较强，基本满足采购需求的得3分；方案内容简单，仅提供基本框架，缺少关键细节，措施一般、针对性一般，勉强满足要求；得1分；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numPr>
                <w:ilvl w:val="0"/>
                <w:numId w:val="0"/>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应急方案</w:t>
            </w:r>
            <w:r/>
          </w:p>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根据各投标人项目实施和售后服务过程中的各类安全事故应急和其他应急方案情况由专家进行打分。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方案完整、措施齐全、针对性强且优于采购需求的得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分，方案较全、措施较齐全、针对性较强基本满足采购需求的得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分；方案简单、措施、针对性一般得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售后</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根据投标人书面承诺的售后质保期限进行评分，不重复计分，以承诺的最高质保期限对应分值计分，</w:t>
            </w:r>
            <w:r>
              <w:rPr>
                <w:rFonts w:hint="eastAsia" w:ascii="仿宋" w:hAnsi="仿宋" w:eastAsia="仿宋" w:cs="仿宋"/>
                <w:color w:val="000000"/>
                <w:sz w:val="24"/>
                <w:szCs w:val="24"/>
                <w:lang w:val="en-US" w:eastAsia="zh-CN"/>
              </w:rPr>
              <w:t xml:space="preserve">最高得3</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承诺售后质保期为</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年的，得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承诺售后质保期为</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年的，得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注：货物须提供不少于</w:t>
            </w:r>
            <w:r>
              <w:rPr>
                <w:rFonts w:hint="eastAsia" w:ascii="仿宋" w:hAnsi="仿宋" w:eastAsia="仿宋" w:cs="仿宋"/>
                <w:b/>
                <w:bCs/>
                <w:color w:val="000000"/>
                <w:sz w:val="24"/>
                <w:szCs w:val="24"/>
                <w:lang w:val="en-US" w:eastAsia="zh-CN"/>
              </w:rPr>
              <w:t xml:space="preserve">3</w:t>
            </w:r>
            <w:r>
              <w:rPr>
                <w:rFonts w:hint="eastAsia" w:ascii="仿宋" w:hAnsi="仿宋" w:eastAsia="仿宋" w:cs="仿宋"/>
                <w:b/>
                <w:bCs/>
                <w:color w:val="000000"/>
                <w:sz w:val="24"/>
                <w:szCs w:val="24"/>
              </w:rPr>
              <w:t xml:space="preserve">年的售后质保期，该要求为最低强制性标准，未满足者按无效响应处理。投标人需提供书面质保承诺函（加盖公章）。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p>
        </w:tc>
      </w:tr>
      <w:tr>
        <w:trPr>
          <w:jc w:val="center"/>
          <w:trHeight w:val="931"/>
        </w:trPr>
        <w:tc>
          <w:tcPr>
            <w:tcBorders>
              <w:left w:val="single" w:color="auto" w:sz="4" w:space="0"/>
              <w:right w:val="single" w:color="auto" w:sz="4" w:space="0"/>
            </w:tcBorders>
            <w:tcW w:w="1341" w:type="dxa"/>
            <w:vAlign w:val="center"/>
            <w:vMerge w:val="restart"/>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商务部分（1</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类似</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业绩</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投标供应商自2022年1月1日以来（以合同签订时间为准）承担过类似垃圾压缩机采购项目的业绩，每个有效业绩得1分；最高得3分。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w:t>
            </w:r>
            <w:r>
              <w:rPr>
                <w:rFonts w:hint="eastAsia" w:ascii="仿宋" w:hAnsi="仿宋" w:eastAsia="仿宋" w:cs="仿宋"/>
                <w:color w:val="000000"/>
                <w:sz w:val="24"/>
                <w:szCs w:val="24"/>
                <w:lang w:val="en-US" w:eastAsia="zh-CN"/>
              </w:rPr>
              <w:t xml:space="preserve">同时</w:t>
            </w:r>
            <w:r>
              <w:rPr>
                <w:rFonts w:hint="eastAsia" w:ascii="仿宋" w:hAnsi="仿宋" w:eastAsia="仿宋" w:cs="仿宋"/>
                <w:color w:val="000000"/>
                <w:sz w:val="24"/>
                <w:szCs w:val="24"/>
              </w:rPr>
              <w:t xml:space="preserve">提供业绩合同和中标通知书扫描件加盖单位公章，否则不得分。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r>
      <w:tr>
        <w:trPr>
          <w:jc w:val="center"/>
          <w:trHeight w:val="530"/>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管理</w:t>
            </w:r>
            <w:r/>
          </w:p>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体系</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投标人具有质量管理体系认证、环境管理体系认证、职业健康安全管理体系认证、能源管理体系认证,每提供一项得0.5分，最高得2分。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其中环境管理体系认证证书可提供所投产品生产厂家的证书作为评</w:t>
            </w:r>
            <w:r>
              <w:rPr>
                <w:rFonts w:hint="eastAsia" w:ascii="仿宋" w:hAnsi="仿宋" w:eastAsia="仿宋" w:cs="仿宋"/>
                <w:color w:val="000000"/>
                <w:sz w:val="24"/>
                <w:szCs w:val="24"/>
                <w:lang w:val="en-US" w:eastAsia="zh-CN"/>
              </w:rPr>
              <w:t xml:space="preserve">标</w:t>
            </w:r>
            <w:r>
              <w:rPr>
                <w:rFonts w:hint="eastAsia" w:ascii="仿宋" w:hAnsi="仿宋" w:eastAsia="仿宋" w:cs="仿宋"/>
                <w:color w:val="000000"/>
                <w:sz w:val="24"/>
                <w:szCs w:val="24"/>
              </w:rPr>
              <w:t xml:space="preserve">依据。提供以上证书扫描件加盖</w:t>
            </w:r>
            <w:r>
              <w:rPr>
                <w:rFonts w:hint="eastAsia" w:ascii="仿宋" w:hAnsi="仿宋" w:eastAsia="仿宋" w:cs="仿宋"/>
                <w:color w:val="000000"/>
                <w:sz w:val="24"/>
                <w:szCs w:val="24"/>
                <w:lang w:val="en-US" w:eastAsia="zh-CN"/>
              </w:rPr>
              <w:t xml:space="preserve">电子签</w:t>
            </w:r>
            <w:bookmarkStart w:id="43" w:name="_GoBack"/>
            <w:r/>
            <w:bookmarkEnd w:id="43"/>
            <w:r>
              <w:rPr>
                <w:rFonts w:hint="eastAsia" w:ascii="仿宋" w:hAnsi="仿宋" w:eastAsia="仿宋" w:cs="仿宋"/>
                <w:color w:val="000000"/>
                <w:sz w:val="24"/>
                <w:szCs w:val="24"/>
              </w:rPr>
              <w:t xml:space="preserve">章，并要求可在中国国家认证认可监督管理委员会官网认证查询系统内查询到相关证书信息提供截图证明，否则不得分。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r>
      <w:tr>
        <w:trPr>
          <w:jc w:val="center"/>
          <w:trHeight w:val="1484"/>
        </w:trPr>
        <w:tc>
          <w:tcPr>
            <w:tcBorders>
              <w:left w:val="single" w:color="auto" w:sz="4" w:space="0"/>
              <w:right w:val="single" w:color="auto" w:sz="4" w:space="0"/>
            </w:tcBorders>
            <w:tcW w:w="1341" w:type="dxa"/>
            <w:vAlign w:val="center"/>
            <w:vMerge w:val="continue"/>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left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供应商资信</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5"/>
              </w:numPr>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 xml:space="preserve">科技水平：</w:t>
            </w:r>
            <w:bookmarkStart w:id="36" w:name="OLE_LINK2"/>
            <w:r>
              <w:rPr>
                <w:rFonts w:hint="eastAsia" w:ascii="仿宋" w:hAnsi="仿宋" w:eastAsia="仿宋" w:cs="仿宋"/>
                <w:color w:val="000000"/>
                <w:sz w:val="24"/>
                <w:szCs w:val="24"/>
                <w:highlight w:val="none"/>
              </w:rPr>
              <w:t xml:space="preserve">所投产品</w:t>
            </w:r>
            <w:r>
              <w:rPr>
                <w:rFonts w:hint="eastAsia" w:ascii="仿宋" w:hAnsi="仿宋" w:eastAsia="仿宋" w:cs="仿宋"/>
                <w:color w:val="000000"/>
                <w:sz w:val="24"/>
                <w:szCs w:val="24"/>
                <w:highlight w:val="none"/>
                <w:lang w:val="en-US" w:eastAsia="zh-CN"/>
              </w:rPr>
              <w:t xml:space="preserve">的生产厂家</w:t>
            </w:r>
            <w:r>
              <w:rPr>
                <w:rFonts w:hint="eastAsia" w:ascii="仿宋" w:hAnsi="仿宋" w:eastAsia="仿宋" w:cs="仿宋"/>
                <w:color w:val="000000"/>
                <w:sz w:val="24"/>
                <w:szCs w:val="24"/>
                <w:highlight w:val="none"/>
              </w:rPr>
              <w:t xml:space="preserve">具有相</w:t>
            </w:r>
            <w:r>
              <w:rPr>
                <w:rFonts w:hint="eastAsia" w:ascii="仿宋" w:hAnsi="仿宋" w:eastAsia="仿宋" w:cs="仿宋"/>
                <w:color w:val="auto"/>
                <w:sz w:val="24"/>
                <w:szCs w:val="24"/>
                <w:highlight w:val="none"/>
              </w:rPr>
              <w:t xml:space="preserve">关的技术专利证书的得3分。(提供专利查询官网内对应专利摘要、配图等证明该专利属于投标产品)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000000"/>
                <w:sz w:val="24"/>
                <w:szCs w:val="24"/>
                <w:highlight w:val="none"/>
              </w:rPr>
              <w:t xml:space="preserve">本项最高得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bookmarkEnd w:id="36"/>
            <w:r/>
            <w:r/>
          </w:p>
          <w:p>
            <w:pPr>
              <w:numPr>
                <w:ilvl w:val="0"/>
                <w:numId w:val="5"/>
              </w:num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研发水平：</w:t>
            </w:r>
            <w:r>
              <w:rPr>
                <w:rFonts w:hint="eastAsia" w:ascii="仿宋" w:hAnsi="仿宋" w:eastAsia="仿宋" w:cs="仿宋"/>
                <w:color w:val="auto"/>
                <w:sz w:val="24"/>
                <w:szCs w:val="24"/>
                <w:highlight w:val="none"/>
                <w:lang w:val="en-US" w:eastAsia="zh-CN"/>
              </w:rPr>
              <w:t xml:space="preserve">所投产品的生产厂家</w:t>
            </w:r>
            <w:r>
              <w:rPr>
                <w:rFonts w:hint="eastAsia" w:ascii="仿宋" w:hAnsi="仿宋" w:eastAsia="仿宋" w:cs="仿宋"/>
                <w:color w:val="000000"/>
                <w:sz w:val="24"/>
                <w:szCs w:val="24"/>
                <w:highlight w:val="none"/>
              </w:rPr>
              <w:t xml:space="preserve">具有环卫设备或装备获得省级（含）以上高新技术企业研发中心证书的得3分；具有省级（含）以上科技型中小企业证书的得3分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本项最高得6分。</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现场主要安装人员证书：主要安装人员须具备低压电工证、熔化焊接与热切割证等对应专业上岗证，每提供1本有效证书得1分，本项最高得2分。投标人须同步提供证书扫描件、人员近3个月任意一个月社保缴纳证明材料。（除</w:t>
            </w:r>
            <w:r>
              <w:rPr>
                <w:rFonts w:hint="eastAsia" w:ascii="仿宋" w:hAnsi="仿宋" w:eastAsia="仿宋" w:cs="仿宋"/>
                <w:color w:val="000000"/>
                <w:sz w:val="24"/>
                <w:szCs w:val="24"/>
                <w:highlight w:val="none"/>
                <w:lang w:val="en-US" w:eastAsia="zh-CN"/>
              </w:rPr>
              <w:t xml:space="preserve">主要</w:t>
            </w:r>
            <w:r>
              <w:rPr>
                <w:rFonts w:hint="eastAsia" w:ascii="仿宋" w:hAnsi="仿宋" w:eastAsia="仿宋" w:cs="仿宋"/>
                <w:color w:val="000000"/>
                <w:sz w:val="24"/>
                <w:szCs w:val="24"/>
                <w:highlight w:val="none"/>
              </w:rPr>
              <w:t xml:space="preserve">安装人员外供应商需根据现场安装工作量灵活调配临时辅助人员）</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注：投标文件中应附上述</w:t>
            </w:r>
            <w:r>
              <w:rPr>
                <w:rFonts w:hint="eastAsia" w:ascii="仿宋" w:hAnsi="仿宋" w:eastAsia="仿宋" w:cs="仿宋"/>
                <w:color w:val="000000"/>
                <w:sz w:val="24"/>
                <w:szCs w:val="24"/>
                <w:highlight w:val="none"/>
                <w:lang w:val="en-US" w:eastAsia="zh-CN"/>
              </w:rPr>
              <w:t xml:space="preserve">合同或验收证明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证书等证明资料扫描件</w:t>
            </w:r>
            <w:r>
              <w:rPr>
                <w:rFonts w:hint="eastAsia" w:ascii="仿宋" w:hAnsi="仿宋" w:eastAsia="仿宋" w:cs="仿宋"/>
                <w:color w:val="000000"/>
                <w:sz w:val="24"/>
                <w:szCs w:val="24"/>
                <w:highlight w:val="none"/>
                <w:lang w:val="en-US" w:eastAsia="zh-CN"/>
              </w:rPr>
              <w:t xml:space="preserve">并加盖电子签章</w:t>
            </w:r>
            <w:r>
              <w:rPr>
                <w:rFonts w:hint="eastAsia" w:ascii="仿宋" w:hAnsi="仿宋" w:eastAsia="仿宋" w:cs="仿宋"/>
                <w:color w:val="000000"/>
                <w:sz w:val="24"/>
                <w:szCs w:val="24"/>
                <w:highlight w:val="none"/>
              </w:rPr>
              <w:t xml:space="preserve">。科技水平和研发水平可提供所投产品生产厂家的相关证明。</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w:t>
            </w:r>
            <w:r/>
          </w:p>
        </w:tc>
      </w:tr>
    </w:tbl>
    <w:p>
      <w:r/>
      <w:r/>
    </w:p>
    <w:p>
      <w:pPr>
        <w:pStyle w:val="657"/>
        <w:rPr>
          <w:rFonts w:hint="eastAsia" w:ascii="仿宋" w:hAnsi="仿宋" w:eastAsia="仿宋"/>
          <w:sz w:val="28"/>
        </w:rPr>
      </w:pPr>
      <w:r>
        <w:rPr>
          <w:rFonts w:hint="eastAsia" w:ascii="仿宋" w:hAnsi="仿宋" w:eastAsia="仿宋"/>
          <w:sz w:val="28"/>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bCs/>
          <w:sz w:val="36"/>
          <w:szCs w:val="36"/>
        </w:rPr>
      </w:pPr>
      <w:r>
        <w:rPr>
          <w:rFonts w:hint="eastAsia" w:ascii="仿宋" w:hAnsi="仿宋" w:eastAsia="仿宋"/>
          <w:b/>
          <w:sz w:val="36"/>
          <w:szCs w:val="36"/>
        </w:rPr>
        <w:t xml:space="preserve">第四章  合同格式及条款</w:t>
      </w:r>
      <w:r/>
    </w:p>
    <w:p>
      <w:pPr>
        <w:ind w:firstLine="560"/>
        <w:spacing w:line="360" w:lineRule="auto"/>
        <w:tabs>
          <w:tab w:val="left" w:pos="180" w:leader="none"/>
        </w:tabs>
        <w:rPr>
          <w:rFonts w:hint="eastAsia" w:ascii="仿宋" w:hAnsi="仿宋" w:eastAsia="仿宋" w:cs="仿宋"/>
          <w:sz w:val="32"/>
        </w:rPr>
      </w:pPr>
      <w:r>
        <w:rPr>
          <w:rFonts w:hint="eastAsia" w:ascii="仿宋" w:hAnsi="仿宋" w:eastAsia="仿宋" w:cs="仿宋"/>
          <w:bCs/>
          <w:sz w:val="28"/>
          <w:szCs w:val="28"/>
        </w:rPr>
        <w:t xml:space="preserve">注：以下为采购人提出中标后签订本项目合同的条款，供应商必须实质性响应，中标供应商不得提出实质性的修改，关于专用条款将由采购人与中标供应商结合本项目具体情况协商后签订。</w:t>
      </w:r>
      <w:r/>
    </w:p>
    <w:p>
      <w:pPr>
        <w:pStyle w:val="660"/>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一、设备采购合同</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甲方：</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乙方： </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一、采购清单详见下表</w:t>
      </w:r>
      <w:r/>
    </w:p>
    <w:tbl>
      <w:tblPr>
        <w:tblStyle w:val="650"/>
        <w:tblW w:w="4979" w:type="pct"/>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791"/>
        <w:gridCol w:w="1269"/>
        <w:gridCol w:w="790"/>
        <w:gridCol w:w="774"/>
        <w:gridCol w:w="1516"/>
        <w:gridCol w:w="1609"/>
        <w:gridCol w:w="1889"/>
      </w:tblGrid>
      <w:tr>
        <w:trPr>
          <w:cantSplit/>
          <w:jc w:val="center"/>
          <w:trHeight w:val="616" w:hRule="exact"/>
        </w:trPr>
        <w:tc>
          <w:tcPr>
            <w:tcBorders>
              <w:top w:val="single" w:color="auto" w:sz="4"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rPr>
            </w:pPr>
            <w:r/>
            <w:bookmarkStart w:id="37" w:name="_Hlk37262289"/>
            <w:r>
              <w:rPr>
                <w:rFonts w:hint="eastAsia" w:ascii="仿宋" w:hAnsi="仿宋" w:eastAsia="仿宋" w:cs="仿宋"/>
                <w:color w:val="auto"/>
                <w:sz w:val="24"/>
              </w:rPr>
              <w:t xml:space="preserve">设备名称</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品牌</w:t>
            </w:r>
            <w:r/>
          </w:p>
        </w:tc>
        <w:tc>
          <w:tcPr>
            <w:tcBorders>
              <w:top w:val="single" w:color="auto" w:sz="4"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规格型号</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产地</w:t>
            </w:r>
            <w:r/>
          </w:p>
        </w:tc>
        <w:tc>
          <w:tcPr>
            <w:tcBorders>
              <w:top w:val="single" w:color="auto" w:sz="4"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数量</w:t>
            </w:r>
            <w:r/>
          </w:p>
        </w:tc>
        <w:tc>
          <w:tcPr>
            <w:tcBorders>
              <w:top w:val="single" w:color="auto" w:sz="4"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单价（元）</w:t>
            </w:r>
            <w:r/>
          </w:p>
        </w:tc>
        <w:tc>
          <w:tcPr>
            <w:tcBorders>
              <w:top w:val="single" w:color="auto" w:sz="4" w:space="0"/>
              <w:left w:val="single" w:color="auto" w:sz="4" w:space="0"/>
              <w:bottom w:val="single" w:color="auto" w:sz="2" w:space="0"/>
              <w:right w:val="single" w:color="auto" w:sz="4" w:space="0"/>
            </w:tcBorders>
            <w:tcW w:w="810" w:type="pct"/>
            <w:vAlign w:val="center"/>
            <w:textDirection w:val="lrTb"/>
            <w:noWrap w:val="false"/>
          </w:tcPr>
          <w:p>
            <w:pPr>
              <w:jc w:val="cente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合计（元）</w:t>
            </w:r>
            <w:r/>
          </w:p>
        </w:tc>
        <w:tc>
          <w:tcPr>
            <w:tcBorders>
              <w:top w:val="single" w:color="auto" w:sz="4" w:space="0"/>
              <w:left w:val="single" w:color="auto" w:sz="4" w:space="0"/>
              <w:bottom w:val="single" w:color="auto" w:sz="2" w:space="0"/>
              <w:right w:val="single" w:color="auto" w:sz="4" w:space="0"/>
            </w:tcBorders>
            <w:tcW w:w="952"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备注</w:t>
            </w:r>
            <w:bookmarkEnd w:id="37"/>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81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4" w:space="0"/>
              <w:right w:val="single" w:color="auto" w:sz="4" w:space="0"/>
            </w:tcBorders>
            <w:tcW w:w="952"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详见附件</w:t>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81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4" w:space="0"/>
              <w:right w:val="single" w:color="auto" w:sz="4" w:space="0"/>
            </w:tcBorders>
            <w:tcW w:w="952"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详见附件</w:t>
            </w:r>
            <w:r/>
          </w:p>
        </w:tc>
      </w:tr>
    </w:tbl>
    <w:p>
      <w:pPr>
        <w:ind w:firstLine="560"/>
        <w:spacing w:line="520" w:lineRule="exact"/>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注：上述价格含设备制造、包装、仓储、运输、安装及验收合格之前及保修期内备品、备件发生的所有含税费用，以及包装拆除物的清理费用。</w:t>
      </w:r>
      <w:r/>
    </w:p>
    <w:p>
      <w:pPr>
        <w:ind w:firstLine="560"/>
        <w:spacing w:line="520" w:lineRule="exact"/>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二、付款方式</w:t>
      </w:r>
      <w:r/>
    </w:p>
    <w:p>
      <w:pPr>
        <w:pStyle w:val="660"/>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分批次完成设备安装验收，每批次验收合格后，依据合格台数一次性付清该批次货款。</w:t>
      </w:r>
      <w:r/>
    </w:p>
    <w:p>
      <w:pPr>
        <w:pStyle w:val="660"/>
        <w:ind w:firstLine="560"/>
        <w:spacing w:line="52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注：付款时乙方须提供正规发票（因发票问题而导致无法正常付款的，责任由乙方承担）。</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三、交货时间及交货地点</w:t>
      </w:r>
      <w:r/>
    </w:p>
    <w:p>
      <w:pPr>
        <w:ind w:firstLine="560"/>
        <w:spacing w:line="360" w:lineRule="auto"/>
        <w:tabs>
          <w:tab w:val="left" w:pos="420" w:leader="none"/>
        </w:tabs>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交货时间：合同签订后，中标供应商接到采购人供货通知15日内供货安装调试到位并交付采购人使用。</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供货数量以采购人通知为准，实行分批供货，不一次性完成全部交付。）</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交货地点：甲方指定地点。</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四、乙方保证向甲方提供的设备满足中国国家标准及相关行业标准。</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乙方保证所供设备是全新、未使用过的原包装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事故和纠纷，乙方承担全部的法律和经济责任。</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六、设备安装后，乙方应配合甲方按厂方技术参数、国家标准等进行质量验收。若有歧义，甲方有权委托中国有资格的单位对该设备进行质量检测，费用由乙方承担。</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sz w:val="28"/>
          <w:szCs w:val="28"/>
        </w:rPr>
        <w:t xml:space="preserve">七、乙方所供设备如验收不合格，根据甲方的要求，乙方必须无条件换货或</w:t>
      </w:r>
      <w:r>
        <w:rPr>
          <w:rFonts w:hint="eastAsia" w:ascii="仿宋" w:hAnsi="仿宋" w:eastAsia="仿宋" w:cs="仿宋"/>
          <w:color w:val="auto"/>
          <w:sz w:val="28"/>
          <w:szCs w:val="28"/>
        </w:rPr>
        <w:t xml:space="preserve">退货，由此引起的一切损失由乙方承担。</w:t>
      </w:r>
      <w:r/>
    </w:p>
    <w:p>
      <w:pPr>
        <w:ind w:firstLine="560"/>
        <w:spacing w:line="360" w:lineRule="auto"/>
        <w:tabs>
          <w:tab w:val="left" w:pos="420" w:leader="none"/>
        </w:tabs>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十、服务条款</w:t>
      </w:r>
      <w:r/>
    </w:p>
    <w:p>
      <w:pPr>
        <w:pStyle w:val="725"/>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1.乙方免费提前为甲方提供设备安装图纸，并充分协助甲方做好准备工作（如必要的话）。</w:t>
      </w:r>
      <w:r/>
    </w:p>
    <w:p>
      <w:pPr>
        <w:pStyle w:val="725"/>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2.设备安装时，乙方负责设备的免费安装和调试，乙方必须事先与甲方联系，否则引起的一切责任由乙方承担。</w:t>
      </w:r>
      <w:r/>
    </w:p>
    <w:p>
      <w:pPr>
        <w:pStyle w:val="725"/>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3.设备安装、调试结束后，甲方对设备试用后进行验收（时间由甲、乙双方商定），乙方免费派工程师到达现场协助验收工作。保修期自甲方验收合格之日算起，保修期外故障待修复后只收配件费，免收上门费、人工费。</w:t>
      </w:r>
      <w:r/>
    </w:p>
    <w:p>
      <w:pPr>
        <w:pStyle w:val="725"/>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4.上述设备免费保修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年，保修期自设备验收合格之起计算，保修期外乙方对本设备终身负责维修。</w:t>
      </w:r>
      <w:r/>
    </w:p>
    <w:p>
      <w:pPr>
        <w:pStyle w:val="725"/>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5.如设备发生故障，乙方在接到甲方报修电话后2小时之内响应，8小时内到达甲方现场（若无维修站点，24小时内到达现场），48小时内修复，否则甲方可自行采取必要的措施，由此产生的风险和费用由乙方承担。如有特殊情况，乙方应立即电话通知甲方不能响应的原因，在获得甲方同意后，才可推迟响应时间。</w:t>
      </w:r>
      <w:r/>
    </w:p>
    <w:p>
      <w:pPr>
        <w:pStyle w:val="725"/>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6.保修期内每年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次定期维护，并经甲方签字确认，留档备查。</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color w:val="auto"/>
          <w:sz w:val="28"/>
          <w:szCs w:val="28"/>
        </w:rPr>
        <w:t xml:space="preserve">7.无论在保修期内还是保修期外，乙方必须上门维修，</w:t>
      </w:r>
      <w:r>
        <w:rPr>
          <w:rFonts w:hint="eastAsia" w:ascii="仿宋" w:hAnsi="仿宋" w:eastAsia="仿宋" w:cs="仿宋"/>
          <w:sz w:val="28"/>
          <w:szCs w:val="28"/>
        </w:rPr>
        <w:t xml:space="preserve">乙方工程师至甲方维修本设备，必须事先与甲方取得联系，并做相应登记，否则引起的一切责任由乙方负责。</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8.乙方需在交货后五个工作日内免费提供全套资料并加盖公章，含产品合格证、操作手册等，如技术资料不全，甲方有权不支付货款或退货，因此产生的损失由乙方自行承担。</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9.技术培训：在安装过程中或安装结束后，乙方工程师或有关人员有义务对甲方操作人员进行现场维修、保养、操作培训并提供快捷操作指南，解答甲方人员提出的问题。必要时提供正规培训班培训，确保操作人员掌握完成日常工作所需的基本操作方法为止。</w:t>
      </w:r>
      <w:r/>
    </w:p>
    <w:p>
      <w:pPr>
        <w:ind w:left="600" w:hanging="182"/>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十一、违约责任</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1.自本协议生效之日起，双方应严格依约履行。若任何一方违反本协议规定，应赔偿由此给其他方造成的损失。</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2.如果乙方没有按照合同规定时间交货的，每逾期一日，保修期延长十天，人力不可抗因素除外。乙方延期交货10日以上的，则视为乙方不能交货，甲方有权因此解除本合同，并要求乙方承担合同总金额10%的违约金。</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3.乙方其他违约行为的，乙方按违约期内甲方向乙方购货总额的10%计算，向甲方支付违约金。如果乙方违约，在收到甲方通知后的10日内没有或拒不承担违约责任的，则甲方有权从尚未支付乙方的购货价款中扣回违约金。</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4.乙方若违反本协议第六和第十任一条均视为对本协议的重大违约，甲方随时有权书面通知乙方立即终止本协议。</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5.因乙方的违约行为给甲方造成损失的（包括所有直接和间接损失），如果违约金不足以补偿该损失部分的，甲方有权继续要求乙方赔偿甲方所有实际损失。</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6.乙方对本合同所约定的设备价格负责，如果产生与设备价值、成本相关的任何法律纠纷由乙方承担，甲方不承担任何相关法律责任。</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7.乙方保证提供的商品、服务不存在任何法律纠纷，甲方在使用该商品或服务以及其中的任何一部分时，不侵犯任何的专利权、商标权、工业设计权或其他知识产权，如收到来自第三方的侵权诉讼或索赔，所有责任及由此造成的损失由乙方承担。</w:t>
      </w:r>
      <w:r/>
    </w:p>
    <w:p>
      <w:pPr>
        <w:pStyle w:val="725"/>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8.以上各项交付的违约金并不影响乙方继续履行本协议的其他各项义务。</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9.乙方应保证甲方在使用、接受本合同货物和服务或其任何一部分时不受第三方提出侵犯其专利权、版权、商标权和工业设计权等知识产权的起诉。一旦出现侵权，由乙方负全部责任。</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十二、双方应本着友好协商的原则，解决与本合同有关的一切争议。如一方不愿协商或协商开始后30日内无法解决，应提交甲方所在地人民法院裁决。</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十三、其他</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1.本合同经甲、乙双方加盖电子签章后生效。如有变动，必须经甲方、乙方协商一致后，方可更改。</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2.本合同未尽事宜，遵照《</w:t>
      </w:r>
      <w:r>
        <w:rPr>
          <w:rFonts w:hint="eastAsia" w:ascii="仿宋" w:hAnsi="仿宋" w:eastAsia="仿宋" w:cs="仿宋"/>
          <w:sz w:val="28"/>
          <w:szCs w:val="28"/>
          <w:lang w:val="en-US" w:eastAsia="zh-CN"/>
        </w:rPr>
        <w:t xml:space="preserve">中华人民共和国</w:t>
      </w:r>
      <w:r>
        <w:rPr>
          <w:rFonts w:hint="eastAsia" w:ascii="仿宋" w:hAnsi="仿宋" w:eastAsia="仿宋" w:cs="仿宋"/>
          <w:sz w:val="28"/>
          <w:szCs w:val="28"/>
        </w:rPr>
        <w:t xml:space="preserve">民法典》、《政府采购法》有关条文执行。</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十四、组成本合同的文件包括</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1.合同格式及条款；</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2.招标文件和乙方的投标文件；</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3.中标通知书；</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4.甲乙双方商定的其他必要文件。上述合同文件内容互为补充，如有不明确，由甲方负责解释，未经事宜双方协商解决。</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十五、合同签署地点：淮安。</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甲    方:                          乙    方:</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单位盖章:（电子签章）              单位盖章:（电子签章）</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代表签字:                          代表签字:</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签定日期:                          签定日期:</w:t>
      </w:r>
      <w:r/>
    </w:p>
    <w:p>
      <w:pPr>
        <w:jc w:val="center"/>
        <w:spacing w:line="520" w:lineRule="exact"/>
        <w:tabs>
          <w:tab w:val="left" w:pos="180" w:leader="none"/>
        </w:tabs>
        <w:rPr>
          <w:rFonts w:hint="eastAsia" w:ascii="仿宋" w:hAnsi="仿宋" w:eastAsia="仿宋" w:cs="仿宋"/>
          <w:b/>
          <w:bCs/>
          <w:sz w:val="32"/>
          <w:szCs w:val="32"/>
        </w:rPr>
      </w:pPr>
      <w:r>
        <w:rPr>
          <w:rFonts w:hint="eastAsia" w:ascii="仿宋" w:hAnsi="仿宋" w:eastAsia="仿宋" w:cs="仿宋"/>
          <w:b/>
          <w:bCs/>
          <w:sz w:val="32"/>
          <w:szCs w:val="32"/>
        </w:rPr>
        <w:t xml:space="preserve">二、合同通用条款</w:t>
      </w:r>
      <w:r/>
    </w:p>
    <w:p>
      <w:pPr>
        <w:spacing w:line="520" w:lineRule="exact"/>
        <w:rPr>
          <w:rFonts w:hint="eastAsia" w:ascii="仿宋" w:hAnsi="仿宋" w:eastAsia="仿宋"/>
          <w:sz w:val="28"/>
        </w:rPr>
      </w:pPr>
      <w:r>
        <w:rPr>
          <w:rFonts w:hint="eastAsia" w:ascii="仿宋" w:hAnsi="仿宋" w:eastAsia="仿宋"/>
          <w:sz w:val="28"/>
        </w:rPr>
        <w:t xml:space="preserve">1.定义</w:t>
      </w:r>
      <w:r/>
    </w:p>
    <w:p>
      <w:pPr>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（6）“乙方”系指根据合同规定提供货物（含软件及相关服务）和服务的供应商。</w:t>
      </w:r>
      <w:r/>
    </w:p>
    <w:p>
      <w:pPr>
        <w:spacing w:line="520" w:lineRule="exact"/>
        <w:rPr>
          <w:rFonts w:hint="eastAsia"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3.专利权</w:t>
      </w:r>
      <w:r/>
    </w:p>
    <w:p>
      <w:pPr>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rPr>
      </w:pPr>
      <w:r>
        <w:rPr>
          <w:rFonts w:hint="eastAsia" w:ascii="仿宋" w:hAnsi="仿宋" w:eastAsia="仿宋"/>
          <w:sz w:val="28"/>
        </w:rPr>
        <w:t xml:space="preserve">4.包装要求</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hint="eastAsia" w:ascii="仿宋" w:hAnsi="仿宋" w:eastAsia="仿宋"/>
          <w:sz w:val="28"/>
        </w:rPr>
      </w:pPr>
      <w:r>
        <w:rPr>
          <w:rFonts w:hint="eastAsia" w:ascii="仿宋" w:hAnsi="仿宋" w:eastAsia="仿宋"/>
          <w:sz w:val="28"/>
        </w:rPr>
        <w:t xml:space="preserve">5.装运标志</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rPr>
      </w:pPr>
      <w:r>
        <w:rPr>
          <w:rFonts w:hint="eastAsia" w:ascii="仿宋" w:hAnsi="仿宋" w:eastAsia="仿宋"/>
          <w:sz w:val="28"/>
        </w:rPr>
        <w:t xml:space="preserve">6.付款方式</w:t>
      </w:r>
      <w:r/>
    </w:p>
    <w:p>
      <w:pPr>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rPr>
      </w:pPr>
      <w:r>
        <w:rPr>
          <w:rFonts w:hint="eastAsia" w:ascii="仿宋" w:hAnsi="仿宋" w:eastAsia="仿宋"/>
          <w:sz w:val="28"/>
        </w:rPr>
        <w:t xml:space="preserve">（1）发票；</w:t>
      </w:r>
      <w:r/>
    </w:p>
    <w:p>
      <w:pPr>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hint="eastAsia" w:ascii="仿宋" w:hAnsi="仿宋" w:eastAsia="仿宋"/>
          <w:sz w:val="28"/>
        </w:rPr>
      </w:pPr>
      <w:r>
        <w:rPr>
          <w:rFonts w:hint="eastAsia" w:ascii="仿宋" w:hAnsi="仿宋" w:eastAsia="仿宋"/>
          <w:sz w:val="28"/>
        </w:rPr>
        <w:t xml:space="preserve">7.伴随服务</w:t>
      </w:r>
      <w:r/>
    </w:p>
    <w:p>
      <w:pPr>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hint="eastAsia" w:ascii="仿宋" w:hAnsi="仿宋" w:eastAsia="仿宋"/>
          <w:sz w:val="28"/>
        </w:rPr>
      </w:pPr>
      <w:r>
        <w:rPr>
          <w:rFonts w:hint="eastAsia" w:ascii="仿宋" w:hAnsi="仿宋" w:eastAsia="仿宋"/>
          <w:sz w:val="28"/>
        </w:rPr>
        <w:t xml:space="preserve">8.质量保证</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hint="eastAsia" w:ascii="仿宋" w:hAnsi="仿宋" w:eastAsia="仿宋"/>
          <w:sz w:val="28"/>
        </w:rPr>
      </w:pPr>
      <w:r>
        <w:rPr>
          <w:rFonts w:hint="eastAsia" w:ascii="仿宋" w:hAnsi="仿宋" w:eastAsia="仿宋"/>
          <w:sz w:val="28"/>
        </w:rPr>
        <w:t xml:space="preserve">9.检验及安装</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hint="eastAsia" w:ascii="仿宋" w:hAnsi="仿宋" w:eastAsia="仿宋"/>
          <w:sz w:val="28"/>
        </w:rPr>
      </w:pPr>
      <w:r>
        <w:rPr>
          <w:rFonts w:hint="eastAsia" w:ascii="仿宋" w:hAnsi="仿宋" w:eastAsia="仿宋"/>
          <w:sz w:val="28"/>
        </w:rPr>
        <w:t xml:space="preserve">10.索赔</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sz w:val="28"/>
        </w:rPr>
      </w:pPr>
      <w:r>
        <w:rPr>
          <w:rFonts w:hint="eastAsia" w:ascii="仿宋" w:hAnsi="仿宋" w:eastAsia="仿宋"/>
          <w:sz w:val="28"/>
        </w:rPr>
        <w:t xml:space="preserve">11.拖延交货</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rPr>
        <w:t xml:space="preserve">1</w:t>
      </w:r>
      <w:r>
        <w:rPr>
          <w:rFonts w:hint="eastAsia" w:ascii="仿宋" w:hAnsi="仿宋" w:eastAsia="仿宋"/>
          <w:sz w:val="28"/>
          <w:lang w:val="en-US" w:eastAsia="zh-CN"/>
        </w:rPr>
        <w:t xml:space="preserve">2</w:t>
      </w:r>
      <w:r>
        <w:rPr>
          <w:rFonts w:hint="eastAsia" w:ascii="仿宋" w:hAnsi="仿宋" w:eastAsia="仿宋"/>
          <w:sz w:val="28"/>
        </w:rPr>
        <w:t xml:space="preserve">.不可抗力</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2</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2</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3</w:t>
      </w:r>
      <w:r>
        <w:rPr>
          <w:rFonts w:hint="eastAsia" w:ascii="仿宋" w:hAnsi="仿宋" w:eastAsia="仿宋"/>
          <w:sz w:val="28"/>
        </w:rPr>
        <w:t xml:space="preserve">.税费</w:t>
      </w:r>
      <w:r/>
    </w:p>
    <w:p>
      <w:pPr>
        <w:ind w:firstLine="567"/>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3</w:t>
      </w:r>
      <w:r>
        <w:rPr>
          <w:rFonts w:hint="eastAsia" w:ascii="仿宋" w:hAnsi="仿宋" w:eastAsia="仿宋"/>
          <w:sz w:val="28"/>
        </w:rPr>
        <w:t xml:space="preserve">.1中国政府根据现行税法规定对甲方征收的与本合同有关的一切税费，均由甲方负担。</w:t>
      </w:r>
      <w:r/>
    </w:p>
    <w:p>
      <w:pPr>
        <w:ind w:firstLine="567"/>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3</w:t>
      </w:r>
      <w:r>
        <w:rPr>
          <w:rFonts w:hint="eastAsia" w:ascii="仿宋" w:hAnsi="仿宋" w:eastAsia="仿宋"/>
          <w:sz w:val="28"/>
        </w:rPr>
        <w:t xml:space="preserve">.2中国政府根据现行税法规定对乙方征收的与本合同有关的一切税费均由乙方负担。</w:t>
      </w:r>
      <w:r/>
    </w:p>
    <w:p>
      <w:pPr>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.仲裁</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.违约终止合同</w:t>
      </w:r>
      <w:r/>
    </w:p>
    <w:p>
      <w:pPr>
        <w:pStyle w:val="928"/>
        <w:ind w:firstLine="560"/>
        <w:spacing w:line="520" w:lineRule="exact"/>
        <w:rPr>
          <w:rFonts w:hint="eastAsia" w:hAnsi="仿宋"/>
          <w:color w:val="auto"/>
          <w:sz w:val="28"/>
          <w:szCs w:val="28"/>
        </w:rPr>
      </w:pPr>
      <w:r>
        <w:rPr>
          <w:rFonts w:hint="eastAsia" w:hAnsi="仿宋"/>
          <w:color w:val="auto"/>
          <w:sz w:val="28"/>
          <w:szCs w:val="28"/>
        </w:rPr>
        <w:t xml:space="preserve">1</w:t>
      </w:r>
      <w:r>
        <w:rPr>
          <w:rFonts w:hint="eastAsia" w:hAnsi="仿宋"/>
          <w:color w:val="auto"/>
          <w:sz w:val="28"/>
          <w:szCs w:val="28"/>
          <w:lang w:val="en-US" w:eastAsia="zh-CN"/>
        </w:rPr>
        <w:t xml:space="preserve">5</w:t>
      </w:r>
      <w:r>
        <w:rPr>
          <w:rFonts w:hAnsi="仿宋"/>
          <w:color w:val="auto"/>
          <w:sz w:val="28"/>
          <w:szCs w:val="28"/>
        </w:rPr>
        <w:t xml:space="preserve">.</w:t>
      </w:r>
      <w:r>
        <w:rPr>
          <w:rFonts w:hint="eastAsia" w:hAnsi="仿宋"/>
          <w:color w:val="auto"/>
          <w:sz w:val="28"/>
          <w:szCs w:val="28"/>
        </w:rPr>
        <w:t xml:space="preserve">1</w:t>
      </w:r>
      <w:r>
        <w:rPr>
          <w:rFonts w:hAnsi="仿宋"/>
          <w:color w:val="auto"/>
          <w:sz w:val="28"/>
          <w:szCs w:val="28"/>
        </w:rPr>
        <w:t xml:space="preserve"> </w:t>
      </w:r>
      <w:r>
        <w:rPr>
          <w:rFonts w:hint="eastAsia" w:hAnsi="仿宋"/>
          <w:color w:val="auto"/>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rPr>
        <w:t xml:space="preserve"> </w:t>
      </w:r>
      <w:r/>
    </w:p>
    <w:p>
      <w:pPr>
        <w:pStyle w:val="928"/>
        <w:ind w:firstLine="560"/>
        <w:spacing w:line="520" w:lineRule="exact"/>
        <w:rPr>
          <w:rFonts w:hint="eastAsia" w:hAnsi="仿宋"/>
          <w:color w:val="auto"/>
          <w:sz w:val="28"/>
          <w:szCs w:val="28"/>
        </w:rPr>
      </w:pPr>
      <w:r>
        <w:rPr>
          <w:rFonts w:hint="eastAsia" w:hAnsi="仿宋"/>
          <w:color w:val="auto"/>
          <w:sz w:val="28"/>
          <w:szCs w:val="28"/>
        </w:rPr>
        <w:t xml:space="preserve">（1）如果乙方未能在合同规定的期限或甲方同意延期的限期内提供全部或部分货物（含软件及相关服务）；</w:t>
      </w:r>
      <w:r>
        <w:rPr>
          <w:rFonts w:hAnsi="仿宋"/>
          <w:color w:val="auto"/>
          <w:sz w:val="28"/>
          <w:szCs w:val="28"/>
        </w:rPr>
        <w:t xml:space="preserve"> </w:t>
      </w:r>
      <w:r/>
    </w:p>
    <w:p>
      <w:pPr>
        <w:pStyle w:val="928"/>
        <w:ind w:firstLine="560"/>
        <w:spacing w:line="520" w:lineRule="exact"/>
        <w:rPr>
          <w:rFonts w:hint="eastAsia" w:hAnsi="仿宋"/>
          <w:color w:val="auto"/>
          <w:sz w:val="28"/>
          <w:szCs w:val="28"/>
        </w:rPr>
      </w:pPr>
      <w:r>
        <w:rPr>
          <w:rFonts w:hint="eastAsia" w:hAnsi="仿宋"/>
          <w:color w:val="auto"/>
          <w:sz w:val="28"/>
          <w:szCs w:val="28"/>
        </w:rPr>
        <w:t xml:space="preserve">（</w:t>
      </w:r>
      <w:r>
        <w:rPr>
          <w:rFonts w:hAnsi="仿宋"/>
          <w:color w:val="auto"/>
          <w:sz w:val="28"/>
          <w:szCs w:val="28"/>
        </w:rPr>
        <w:t xml:space="preserve">2</w:t>
      </w:r>
      <w:r>
        <w:rPr>
          <w:rFonts w:hint="eastAsia" w:hAnsi="仿宋"/>
          <w:color w:val="auto"/>
          <w:sz w:val="28"/>
          <w:szCs w:val="28"/>
        </w:rPr>
        <w:t xml:space="preserve">）如果乙方未能履行合同规定的其它义务。</w:t>
      </w:r>
      <w:r>
        <w:rPr>
          <w:rFonts w:hAnsi="仿宋"/>
          <w:color w:val="auto"/>
          <w:sz w:val="28"/>
          <w:szCs w:val="28"/>
        </w:rPr>
        <w:t xml:space="preserve"> </w:t>
      </w:r>
      <w:r/>
    </w:p>
    <w:p>
      <w:pPr>
        <w:pStyle w:val="928"/>
        <w:ind w:firstLine="560"/>
        <w:spacing w:line="520" w:lineRule="exact"/>
        <w:rPr>
          <w:rFonts w:hint="eastAsia" w:hAnsi="仿宋"/>
          <w:color w:val="auto"/>
          <w:sz w:val="28"/>
          <w:szCs w:val="28"/>
        </w:rPr>
      </w:pPr>
      <w:r>
        <w:rPr>
          <w:rFonts w:hint="eastAsia" w:hAnsi="仿宋"/>
          <w:color w:val="auto"/>
          <w:sz w:val="28"/>
          <w:szCs w:val="28"/>
        </w:rPr>
        <w:t xml:space="preserve">1</w:t>
      </w:r>
      <w:r>
        <w:rPr>
          <w:rFonts w:hint="eastAsia" w:hAnsi="仿宋"/>
          <w:color w:val="auto"/>
          <w:sz w:val="28"/>
          <w:szCs w:val="28"/>
          <w:lang w:val="en-US" w:eastAsia="zh-CN"/>
        </w:rPr>
        <w:t xml:space="preserve">5</w:t>
      </w:r>
      <w:r>
        <w:rPr>
          <w:rFonts w:hAnsi="仿宋"/>
          <w:color w:val="auto"/>
          <w:sz w:val="28"/>
          <w:szCs w:val="28"/>
        </w:rPr>
        <w:t xml:space="preserve">.2 </w:t>
      </w:r>
      <w:r>
        <w:rPr>
          <w:rFonts w:hint="eastAsia" w:hAnsi="仿宋"/>
          <w:color w:val="auto"/>
          <w:sz w:val="28"/>
          <w:szCs w:val="28"/>
        </w:rPr>
        <w:t xml:space="preserve">在甲方根据第1</w:t>
      </w:r>
      <w:r>
        <w:rPr>
          <w:rFonts w:hint="eastAsia" w:hAnsi="仿宋"/>
          <w:color w:val="auto"/>
          <w:sz w:val="28"/>
          <w:szCs w:val="28"/>
          <w:lang w:val="en-US" w:eastAsia="zh-CN"/>
        </w:rPr>
        <w:t xml:space="preserve">6</w:t>
      </w:r>
      <w:r>
        <w:rPr>
          <w:rFonts w:hAnsi="仿宋"/>
          <w:color w:val="auto"/>
          <w:sz w:val="28"/>
          <w:szCs w:val="28"/>
        </w:rPr>
        <w:t xml:space="preserve">.</w:t>
      </w:r>
      <w:r>
        <w:rPr>
          <w:rFonts w:hint="eastAsia" w:hAnsi="仿宋"/>
          <w:color w:val="auto"/>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84"/>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6</w:t>
      </w:r>
      <w:r>
        <w:rPr>
          <w:rFonts w:hint="eastAsia" w:ascii="仿宋" w:hAnsi="仿宋" w:eastAsia="仿宋"/>
          <w:sz w:val="28"/>
        </w:rPr>
        <w:t xml:space="preserve">.破产中止合同</w:t>
      </w:r>
      <w:r/>
    </w:p>
    <w:p>
      <w:pPr>
        <w:pStyle w:val="884"/>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w:t>
      </w:r>
      <w:r>
        <w:rPr>
          <w:rFonts w:hint="eastAsia" w:ascii="仿宋" w:hAnsi="仿宋" w:eastAsia="仿宋"/>
          <w:sz w:val="28"/>
          <w:szCs w:val="24"/>
          <w:lang w:val="en-US" w:eastAsia="zh-CN"/>
        </w:rPr>
        <w:t xml:space="preserve">6</w:t>
      </w:r>
      <w:r>
        <w:rPr>
          <w:rFonts w:hint="eastAsia" w:ascii="仿宋" w:hAnsi="仿宋" w:eastAsia="仿宋"/>
          <w:sz w:val="28"/>
          <w:szCs w:val="24"/>
        </w:rPr>
        <w:t xml:space="preserve">.1如果乙方破产或无清偿能力，甲方可在任何时候以书面形式通知乙方中止合同而不给乙方补偿。该中止合同将不损害或影响甲方和使用方已经采取或将要采取的任何行动或补救措施的权力。</w:t>
      </w:r>
      <w:r/>
    </w:p>
    <w:p>
      <w:pPr>
        <w:pStyle w:val="884"/>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7</w:t>
      </w:r>
      <w:r>
        <w:rPr>
          <w:rFonts w:hint="eastAsia" w:ascii="仿宋" w:hAnsi="仿宋" w:eastAsia="仿宋"/>
          <w:sz w:val="28"/>
        </w:rPr>
        <w:t xml:space="preserve">.转让</w:t>
      </w:r>
      <w:r/>
    </w:p>
    <w:p>
      <w:pPr>
        <w:pStyle w:val="884"/>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w:t>
      </w:r>
      <w:r>
        <w:rPr>
          <w:rFonts w:hint="eastAsia" w:ascii="仿宋" w:hAnsi="仿宋" w:eastAsia="仿宋"/>
          <w:sz w:val="28"/>
          <w:szCs w:val="24"/>
          <w:lang w:val="en-US" w:eastAsia="zh-CN"/>
        </w:rPr>
        <w:t xml:space="preserve">7</w:t>
      </w:r>
      <w:r>
        <w:rPr>
          <w:rFonts w:hint="eastAsia" w:ascii="仿宋" w:hAnsi="仿宋" w:eastAsia="仿宋"/>
          <w:sz w:val="28"/>
          <w:szCs w:val="24"/>
        </w:rPr>
        <w:t xml:space="preserve">.1 除甲方事先书面同意外，乙方不得部分转让或全部转让其应履行的合同义务。</w:t>
      </w:r>
      <w:r/>
    </w:p>
    <w:p>
      <w:pPr>
        <w:pStyle w:val="884"/>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8</w:t>
      </w:r>
      <w:r>
        <w:rPr>
          <w:rFonts w:hint="eastAsia" w:ascii="仿宋" w:hAnsi="仿宋" w:eastAsia="仿宋"/>
          <w:sz w:val="28"/>
        </w:rPr>
        <w:t xml:space="preserve">.合同生效及其它</w:t>
      </w:r>
      <w:r/>
    </w:p>
    <w:p>
      <w:pPr>
        <w:spacing w:line="520" w:lineRule="exact"/>
        <w:rPr>
          <w:rFonts w:hint="eastAsia" w:ascii="仿宋" w:hAnsi="仿宋" w:eastAsia="仿宋"/>
          <w:b/>
          <w:sz w:val="28"/>
          <w:szCs w:val="28"/>
        </w:rPr>
      </w:pPr>
      <w:r>
        <w:rPr>
          <w:rFonts w:hint="eastAsia" w:ascii="仿宋" w:hAnsi="仿宋" w:eastAsia="仿宋"/>
        </w:rPr>
        <w:t xml:space="preserve">   </w:t>
      </w:r>
      <w:r>
        <w:rPr>
          <w:rFonts w:hint="eastAsia" w:ascii="仿宋" w:hAnsi="仿宋" w:eastAsia="仿宋"/>
          <w:sz w:val="28"/>
          <w:szCs w:val="28"/>
        </w:rPr>
        <w:t xml:space="preserve">  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884"/>
        <w:ind w:firstLine="560"/>
        <w:spacing w:line="520" w:lineRule="exact"/>
        <w:rPr>
          <w:rFonts w:hint="eastAsia" w:ascii="仿宋" w:hAnsi="仿宋" w:eastAsia="仿宋"/>
          <w:sz w:val="28"/>
          <w:szCs w:val="24"/>
        </w:rPr>
      </w:pPr>
      <w:r>
        <w:rPr>
          <w:rFonts w:hint="eastAsia" w:ascii="仿宋" w:hAnsi="仿宋" w:eastAsia="仿宋"/>
          <w:sz w:val="28"/>
          <w:szCs w:val="24"/>
        </w:rPr>
        <w:t xml:space="preserve">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884"/>
        <w:spacing w:line="520" w:lineRule="exact"/>
        <w:rPr>
          <w:rFonts w:hint="eastAsia" w:ascii="仿宋" w:hAnsi="仿宋" w:eastAsia="仿宋"/>
          <w:sz w:val="28"/>
          <w:szCs w:val="24"/>
        </w:rPr>
      </w:pPr>
      <w:r>
        <w:rPr>
          <w:rFonts w:hint="eastAsia" w:ascii="仿宋" w:hAnsi="仿宋" w:eastAsia="仿宋"/>
          <w:sz w:val="28"/>
          <w:szCs w:val="24"/>
        </w:rPr>
        <w:t xml:space="preserve">    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.3合同货物交付使用后所发生的合同纠纷，甲方与乙方进行处理。</w:t>
      </w:r>
      <w:r/>
    </w:p>
    <w:p>
      <w:pPr>
        <w:pStyle w:val="884"/>
        <w:spacing w:line="520" w:lineRule="exact"/>
        <w:rPr>
          <w:rFonts w:hint="eastAsia" w:ascii="仿宋" w:hAnsi="仿宋" w:eastAsia="仿宋"/>
          <w:sz w:val="28"/>
          <w:szCs w:val="24"/>
        </w:rPr>
      </w:pPr>
      <w:r>
        <w:rPr>
          <w:rFonts w:hint="eastAsia" w:ascii="仿宋" w:hAnsi="仿宋" w:eastAsia="仿宋"/>
          <w:sz w:val="28"/>
          <w:szCs w:val="24"/>
        </w:rPr>
        <w:t xml:space="preserve">    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rPr>
      </w:pPr>
      <w:r>
        <w:rPr>
          <w:rFonts w:hint="eastAsia" w:ascii="仿宋" w:hAnsi="仿宋" w:eastAsia="仿宋"/>
          <w:sz w:val="28"/>
        </w:rPr>
        <w:t xml:space="preserve">1</w:t>
      </w:r>
      <w:r>
        <w:rPr>
          <w:rFonts w:hint="eastAsia" w:ascii="仿宋" w:hAnsi="仿宋" w:eastAsia="仿宋"/>
          <w:sz w:val="28"/>
          <w:lang w:val="en-US" w:eastAsia="zh-CN"/>
        </w:rPr>
        <w:t xml:space="preserve">8</w:t>
      </w:r>
      <w:r>
        <w:rPr>
          <w:rFonts w:hint="eastAsia" w:ascii="仿宋" w:hAnsi="仿宋" w:eastAsia="仿宋"/>
          <w:sz w:val="28"/>
        </w:rPr>
        <w:t xml:space="preserve">.5本合同应按照中华人民共和国的现行法律进行解释。</w:t>
      </w:r>
      <w:r/>
    </w:p>
    <w:p>
      <w:pPr>
        <w:pStyle w:val="884"/>
        <w:jc w:val="center"/>
        <w:spacing w:line="520" w:lineRule="exact"/>
        <w:rPr>
          <w:rFonts w:hint="eastAsia" w:ascii="仿宋" w:hAnsi="仿宋" w:eastAsia="仿宋" w:cs="仿宋"/>
          <w:b/>
          <w:bCs/>
          <w:sz w:val="28"/>
          <w:szCs w:val="28"/>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numPr>
          <w:ilvl w:val="0"/>
          <w:numId w:val="6"/>
        </w:numPr>
        <w:spacing w:line="360" w:lineRule="auto"/>
        <w:rPr>
          <w:rFonts w:hint="eastAsia" w:ascii="仿宋" w:hAnsi="仿宋" w:eastAsia="仿宋" w:cs="仿宋"/>
          <w:sz w:val="28"/>
          <w:szCs w:val="28"/>
        </w:rPr>
      </w:pPr>
      <w:r>
        <w:rPr>
          <w:rFonts w:hint="eastAsia" w:ascii="仿宋" w:hAnsi="仿宋" w:eastAsia="仿宋" w:cs="仿宋"/>
          <w:sz w:val="28"/>
          <w:szCs w:val="28"/>
        </w:rPr>
        <w:t xml:space="preserve">招标设备组成</w:t>
      </w:r>
      <w:r/>
    </w:p>
    <w:tbl>
      <w:tblPr>
        <w:tblStyle w:val="650"/>
        <w:tblW w:w="4417" w:type="pct"/>
        <w:tblInd w:w="5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3280"/>
        <w:gridCol w:w="2102"/>
        <w:gridCol w:w="1150"/>
        <w:gridCol w:w="1463"/>
      </w:tblGrid>
      <w:tr>
        <w:trPr/>
        <w:tc>
          <w:tcPr>
            <w:tcBorders>
              <w:top w:val="single" w:color="auto" w:sz="4" w:space="0"/>
              <w:left w:val="single" w:color="auto" w:sz="4" w:space="0"/>
              <w:bottom w:val="single" w:color="auto" w:sz="4" w:space="0"/>
              <w:right w:val="single" w:color="auto" w:sz="4" w:space="0"/>
            </w:tcBorders>
            <w:tcW w:w="457"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Borders>
              <w:top w:val="single" w:color="auto" w:sz="4" w:space="0"/>
              <w:left w:val="single" w:color="auto" w:sz="4" w:space="0"/>
              <w:bottom w:val="single" w:color="auto" w:sz="4" w:space="0"/>
              <w:right w:val="single" w:color="auto" w:sz="4" w:space="0"/>
            </w:tcBorders>
            <w:tcW w:w="1863"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技术规格要求</w:t>
            </w:r>
            <w:r/>
          </w:p>
        </w:tc>
        <w:tc>
          <w:tcPr>
            <w:tcBorders>
              <w:top w:val="single" w:color="auto" w:sz="4" w:space="0"/>
              <w:left w:val="single" w:color="auto" w:sz="4" w:space="0"/>
              <w:bottom w:val="single" w:color="auto" w:sz="4" w:space="0"/>
              <w:right w:val="single" w:color="auto" w:sz="4" w:space="0"/>
            </w:tcBorders>
            <w:tcW w:w="653"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数量</w:t>
            </w:r>
            <w:r/>
          </w:p>
        </w:tc>
        <w:tc>
          <w:tcPr>
            <w:tcBorders>
              <w:top w:val="single" w:color="auto" w:sz="4" w:space="0"/>
              <w:left w:val="single" w:color="auto" w:sz="4" w:space="0"/>
              <w:bottom w:val="single" w:color="auto" w:sz="4" w:space="0"/>
              <w:right w:val="single" w:color="auto" w:sz="4" w:space="0"/>
            </w:tcBorders>
            <w:tcW w:w="831"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942"/>
        </w:trPr>
        <w:tc>
          <w:tcPr>
            <w:tcBorders>
              <w:top w:val="single" w:color="auto" w:sz="4" w:space="0"/>
              <w:left w:val="single" w:color="auto" w:sz="4" w:space="0"/>
              <w:bottom w:val="single" w:color="auto" w:sz="4" w:space="0"/>
              <w:right w:val="single" w:color="auto" w:sz="4" w:space="0"/>
            </w:tcBorders>
            <w:tcW w:w="457" w:type="pct"/>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1</w:t>
            </w:r>
            <w:r/>
          </w:p>
        </w:tc>
        <w:tc>
          <w:tcPr>
            <w:tcBorders>
              <w:top w:val="single" w:color="auto" w:sz="4" w:space="0"/>
              <w:left w:val="single" w:color="auto" w:sz="4" w:space="0"/>
              <w:bottom w:val="single" w:color="auto" w:sz="4" w:space="0"/>
              <w:right w:val="single" w:color="auto" w:sz="4" w:space="0"/>
            </w:tcBorders>
            <w:tcW w:w="1863" w:type="pct"/>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地下水平式垃圾压缩机</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详见如下参数</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16</w:t>
            </w:r>
            <w:r/>
          </w:p>
        </w:tc>
        <w:tc>
          <w:tcPr>
            <w:tcBorders>
              <w:top w:val="single" w:color="auto" w:sz="4" w:space="0"/>
              <w:left w:val="single" w:color="auto" w:sz="4" w:space="0"/>
              <w:right w:val="single" w:color="auto" w:sz="4" w:space="0"/>
            </w:tcBorders>
            <w:tcW w:w="831" w:type="pct"/>
            <w:vAlign w:val="center"/>
            <w:textDirection w:val="lrTb"/>
            <w:noWrap w:val="false"/>
          </w:tcPr>
          <w:p>
            <w:pPr>
              <w:jc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配备16台高压冲洗机</w:t>
            </w:r>
            <w:r/>
          </w:p>
        </w:tc>
      </w:tr>
    </w:tbl>
    <w:p>
      <w:pPr>
        <w:numPr>
          <w:ilvl w:val="0"/>
          <w:numId w:val="6"/>
        </w:numPr>
        <w:spacing w:line="360" w:lineRule="auto"/>
        <w:rPr>
          <w:rFonts w:hint="eastAsia" w:ascii="仿宋" w:hAnsi="仿宋" w:eastAsia="仿宋" w:cs="仿宋"/>
          <w:sz w:val="28"/>
          <w:szCs w:val="28"/>
        </w:rPr>
      </w:pPr>
      <w:r>
        <w:rPr>
          <w:rFonts w:hint="eastAsia" w:ascii="仿宋" w:hAnsi="仿宋" w:eastAsia="仿宋" w:cs="仿宋"/>
          <w:sz w:val="28"/>
          <w:szCs w:val="28"/>
        </w:rPr>
        <w:t xml:space="preserve">技术参数</w:t>
      </w:r>
      <w:r/>
    </w:p>
    <w:tbl>
      <w:tblPr>
        <w:tblStyle w:val="650"/>
        <w:tblW w:w="87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0"/>
        <w:gridCol w:w="750"/>
        <w:gridCol w:w="2299"/>
        <w:gridCol w:w="1414"/>
        <w:gridCol w:w="3465"/>
      </w:tblGrid>
      <w:tr>
        <w:trPr>
          <w:jc w:val="center"/>
          <w:trHeight w:val="397"/>
        </w:trPr>
        <w:tc>
          <w:tcPr>
            <w:gridSpan w:val="3"/>
            <w:tcBorders>
              <w:top w:val="single" w:color="auto" w:sz="12" w:space="0"/>
              <w:bottom w:val="single" w:color="auto" w:sz="6" w:space="0"/>
            </w:tcBorders>
            <w:tcW w:w="3889" w:type="dxa"/>
            <w:vAlign w:val="center"/>
            <w:textDirection w:val="lrTb"/>
            <w:noWrap w:val="false"/>
          </w:tcPr>
          <w:p>
            <w:pPr>
              <w:ind w:left="720"/>
              <w:rPr>
                <w:rFonts w:hint="eastAsia" w:ascii="仿宋" w:hAnsi="仿宋" w:eastAsia="仿宋" w:cs="仿宋"/>
                <w:sz w:val="28"/>
                <w:szCs w:val="28"/>
              </w:rPr>
            </w:pPr>
            <w:r>
              <w:rPr>
                <w:rFonts w:hint="eastAsia" w:ascii="仿宋" w:hAnsi="仿宋" w:eastAsia="仿宋" w:cs="仿宋"/>
                <w:sz w:val="28"/>
                <w:szCs w:val="28"/>
              </w:rPr>
              <w:t xml:space="preserve">项         目</w:t>
            </w:r>
            <w:r/>
          </w:p>
        </w:tc>
        <w:tc>
          <w:tcPr>
            <w:tcBorders>
              <w:top w:val="single" w:color="auto" w:sz="12" w:space="0"/>
              <w:bottom w:val="single" w:color="auto" w:sz="6" w:space="0"/>
            </w:tcBorders>
            <w:tcW w:w="1414" w:type="dxa"/>
            <w:vAlign w:val="center"/>
            <w:textDirection w:val="lrTb"/>
            <w:noWrap w:val="false"/>
          </w:tcPr>
          <w:p>
            <w:pPr>
              <w:ind w:left="14" w:hanging="16"/>
              <w:jc w:val="center"/>
              <w:rPr>
                <w:rFonts w:hint="eastAsia" w:ascii="仿宋" w:hAnsi="仿宋" w:eastAsia="仿宋" w:cs="仿宋"/>
                <w:sz w:val="28"/>
                <w:szCs w:val="28"/>
              </w:rPr>
            </w:pPr>
            <w:r>
              <w:rPr>
                <w:rFonts w:hint="eastAsia" w:ascii="仿宋" w:hAnsi="仿宋" w:eastAsia="仿宋" w:cs="仿宋"/>
                <w:sz w:val="28"/>
                <w:szCs w:val="28"/>
              </w:rPr>
              <w:t xml:space="preserve">单   位</w:t>
            </w:r>
            <w:r/>
          </w:p>
        </w:tc>
        <w:tc>
          <w:tcPr>
            <w:tcBorders>
              <w:top w:val="single" w:color="auto" w:sz="12"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参    数</w:t>
            </w:r>
            <w:r/>
          </w:p>
        </w:tc>
      </w:tr>
      <w:tr>
        <w:trPr>
          <w:cantSplit/>
          <w:jc w:val="center"/>
          <w:trHeight w:val="390"/>
        </w:trPr>
        <w:tc>
          <w:tcPr>
            <w:gridSpan w:val="3"/>
            <w:tcBorders>
              <w:top w:val="single" w:color="auto" w:sz="6" w:space="0"/>
              <w:bottom w:val="single" w:color="auto" w:sz="4"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lang w:eastAsia="zh-CN"/>
              </w:rPr>
              <w:t xml:space="preserve">★</w:t>
            </w:r>
            <w:r>
              <w:rPr>
                <w:rFonts w:hint="eastAsia" w:ascii="仿宋" w:hAnsi="仿宋" w:eastAsia="仿宋" w:cs="仿宋"/>
                <w:sz w:val="28"/>
                <w:szCs w:val="28"/>
              </w:rPr>
              <w:t xml:space="preserve">整机重量</w:t>
            </w:r>
            <w:r/>
          </w:p>
        </w:tc>
        <w:tc>
          <w:tcPr>
            <w:tcBorders>
              <w:top w:val="single" w:color="auto" w:sz="6" w:space="0"/>
              <w:bottom w:val="single" w:color="auto" w:sz="4"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w:t>
            </w:r>
            <w:r/>
          </w:p>
        </w:tc>
        <w:tc>
          <w:tcPr>
            <w:tcBorders>
              <w:top w:val="single" w:color="auto" w:sz="6"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≥28</w:t>
            </w:r>
            <w:r/>
          </w:p>
        </w:tc>
      </w:tr>
      <w:tr>
        <w:trPr>
          <w:cantSplit/>
          <w:jc w:val="center"/>
          <w:trHeight w:val="390"/>
        </w:trPr>
        <w:tc>
          <w:tcPr>
            <w:gridSpan w:val="3"/>
            <w:tcBorders>
              <w:top w:val="single" w:color="auto" w:sz="4" w:space="0"/>
            </w:tcBorders>
            <w:tcW w:w="3889" w:type="dxa"/>
            <w:vAlign w:val="center"/>
            <w:vMerge w:val="restart"/>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液压系统额定压力</w:t>
            </w:r>
            <w:r/>
          </w:p>
        </w:tc>
        <w:tc>
          <w:tcPr>
            <w:tcBorders>
              <w:top w:val="single" w:color="auto" w:sz="4" w:space="0"/>
            </w:tcBorders>
            <w:tcW w:w="1414" w:type="dxa"/>
            <w:vAlign w:val="center"/>
            <w:vMerge w:val="restart"/>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Mpa</w:t>
            </w:r>
            <w:r/>
          </w:p>
        </w:tc>
        <w:tc>
          <w:tcPr>
            <w:tcBorders>
              <w:top w:val="single" w:color="auto" w:sz="4"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小泵压力：≥17.5（二级≥8）</w:t>
            </w:r>
            <w:r/>
          </w:p>
        </w:tc>
      </w:tr>
      <w:tr>
        <w:trPr>
          <w:cantSplit/>
          <w:jc w:val="center"/>
          <w:trHeight w:val="390"/>
        </w:trPr>
        <w:tc>
          <w:tcPr>
            <w:gridSpan w:val="3"/>
            <w:tcW w:w="3889" w:type="dxa"/>
            <w:vAlign w:val="center"/>
            <w:vMerge w:val="continue"/>
            <w:textDirection w:val="lrTb"/>
            <w:noWrap w:val="false"/>
          </w:tcPr>
          <w:p>
            <w:pPr>
              <w:ind w:firstLine="311"/>
              <w:rPr>
                <w:rFonts w:hint="eastAsia" w:ascii="仿宋" w:hAnsi="仿宋" w:eastAsia="仿宋" w:cs="仿宋"/>
                <w:sz w:val="28"/>
                <w:szCs w:val="28"/>
              </w:rPr>
            </w:pPr>
            <w:r>
              <w:rPr>
                <w:rFonts w:hint="eastAsia" w:ascii="仿宋" w:hAnsi="仿宋" w:eastAsia="仿宋" w:cs="仿宋"/>
                <w:sz w:val="28"/>
                <w:szCs w:val="28"/>
              </w:rPr>
            </w:r>
            <w:r/>
          </w:p>
        </w:tc>
        <w:tc>
          <w:tcPr>
            <w:tcW w:w="1414" w:type="dxa"/>
            <w:vAlign w:val="center"/>
            <w:vMerge w:val="continue"/>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大泵压力：≥8</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外形尺寸（长宽高）</w:t>
            </w:r>
            <w:r/>
          </w:p>
        </w:tc>
        <w:tc>
          <w:tcPr>
            <w:tcBorders>
              <w:top w:val="single" w:color="auto" w:sz="6" w:space="0"/>
              <w:bottom w:val="single" w:color="auto" w:sz="6" w:space="0"/>
            </w:tcBorders>
            <w:tcW w:w="1414" w:type="dxa"/>
            <w:vAlign w:val="center"/>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8600×3500×4500（±20）</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垃圾块成型尺寸（长宽高）</w:t>
            </w:r>
            <w:r/>
          </w:p>
        </w:tc>
        <w:tc>
          <w:tcPr>
            <w:tcBorders>
              <w:top w:val="single" w:color="auto" w:sz="6" w:space="0"/>
              <w:bottom w:val="single" w:color="auto" w:sz="6" w:space="0"/>
            </w:tcBorders>
            <w:tcW w:w="1414" w:type="dxa"/>
            <w:vAlign w:val="center"/>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3500×2000×1300（±20）</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料斗下口尺寸（宽长）</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1760×1080（±20）</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sz w:val="28"/>
                <w:szCs w:val="28"/>
              </w:rPr>
              <w:t xml:space="preserve">垃圾收集</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无压盖，在压缩垃圾时可同时接受收集车倾倒垃圾，效率高</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整块垃圾重量（约）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＞8</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配套电机功率</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kW</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≤18.5</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单机日处理垃圾量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t/day</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≥100</w:t>
            </w:r>
            <w:r/>
          </w:p>
        </w:tc>
      </w:tr>
      <w:tr>
        <w:trPr>
          <w:jc w:val="center"/>
          <w:trHeight w:val="390"/>
        </w:trPr>
        <w:tc>
          <w:tcPr>
            <w:tcBorders>
              <w:top w:val="single" w:color="auto" w:sz="6" w:space="0"/>
              <w:right w:val="single" w:color="auto" w:sz="4" w:space="0"/>
            </w:tcBorders>
            <w:tcW w:w="840" w:type="dxa"/>
            <w:vAlign w:val="center"/>
            <w:vMerge w:val="restart"/>
            <w:textDirection w:val="tbRlV"/>
            <w:noWrap w:val="false"/>
          </w:tcPr>
          <w:p>
            <w:pPr>
              <w:ind w:left="113" w:right="113"/>
              <w:jc w:val="center"/>
              <w:rPr>
                <w:rFonts w:hint="eastAsia" w:ascii="仿宋" w:hAnsi="仿宋" w:eastAsia="仿宋" w:cs="仿宋"/>
                <w:sz w:val="28"/>
                <w:szCs w:val="28"/>
              </w:rPr>
            </w:pPr>
            <w:r>
              <w:rPr>
                <w:rFonts w:hint="eastAsia" w:ascii="仿宋" w:hAnsi="仿宋" w:eastAsia="仿宋" w:cs="仿宋"/>
                <w:sz w:val="28"/>
                <w:szCs w:val="28"/>
              </w:rPr>
              <w:t xml:space="preserve">前门</w:t>
            </w:r>
            <w:r/>
          </w:p>
        </w:tc>
        <w:tc>
          <w:tcPr>
            <w:gridSpan w:val="2"/>
            <w:tcBorders>
              <w:top w:val="single" w:color="auto" w:sz="6" w:space="0"/>
              <w:left w:val="single" w:color="auto" w:sz="4"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t xml:space="preserve">重量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≥1.5</w:t>
            </w:r>
            <w:r/>
          </w:p>
        </w:tc>
      </w:tr>
      <w:tr>
        <w:trPr>
          <w:jc w:val="center"/>
          <w:trHeight w:val="390"/>
        </w:trPr>
        <w:tc>
          <w:tcPr>
            <w:tcBorders>
              <w:bottom w:val="single" w:color="auto" w:sz="6" w:space="0"/>
              <w:right w:val="single" w:color="auto" w:sz="4" w:space="0"/>
            </w:tcBorders>
            <w:tcW w:w="840" w:type="dxa"/>
            <w:vAlign w:val="center"/>
            <w:vMerge w:val="continue"/>
            <w:textDirection w:val="tbRlV"/>
            <w:noWrap w:val="false"/>
          </w:tcPr>
          <w:p>
            <w:pPr>
              <w:ind w:firstLine="311"/>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left w:val="single" w:color="auto" w:sz="4" w:space="0"/>
              <w:bottom w:val="single" w:color="auto" w:sz="6" w:space="0"/>
            </w:tcBorders>
            <w:tcW w:w="304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开启方式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双油缸顶升</w:t>
            </w:r>
            <w:r/>
          </w:p>
        </w:tc>
      </w:tr>
      <w:tr>
        <w:trPr>
          <w:cantSplit/>
          <w:jc w:val="center"/>
          <w:trHeight w:val="390"/>
        </w:trPr>
        <w:tc>
          <w:tcPr>
            <w:tcBorders>
              <w:top w:val="single" w:color="auto" w:sz="6" w:space="0"/>
              <w:bottom w:val="single" w:color="auto" w:sz="6" w:space="0"/>
            </w:tcBorders>
            <w:tcW w:w="840" w:type="dxa"/>
            <w:vAlign w:val="center"/>
            <w:vMerge w:val="restart"/>
            <w:textDirection w:val="tbRlV"/>
            <w:noWrap w:val="false"/>
          </w:tcPr>
          <w:p>
            <w:pPr>
              <w:ind w:left="113" w:right="113"/>
              <w:jc w:val="center"/>
              <w:rPr>
                <w:rFonts w:hint="eastAsia" w:ascii="仿宋" w:hAnsi="仿宋" w:eastAsia="仿宋" w:cs="仿宋"/>
                <w:sz w:val="28"/>
                <w:szCs w:val="28"/>
              </w:rPr>
            </w:pPr>
            <w:r>
              <w:rPr>
                <w:rFonts w:hint="eastAsia" w:ascii="仿宋" w:hAnsi="仿宋" w:eastAsia="仿宋" w:cs="仿宋"/>
                <w:sz w:val="28"/>
                <w:szCs w:val="28"/>
              </w:rPr>
              <w:t xml:space="preserve">推压装置</w:t>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t xml:space="preserve">方式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一主二副油缸布局</w:t>
            </w:r>
            <w:r/>
          </w:p>
        </w:tc>
      </w:tr>
      <w:tr>
        <w:trPr>
          <w:cantSplit/>
          <w:jc w:val="center"/>
          <w:trHeight w:val="390"/>
        </w:trPr>
        <w:tc>
          <w:tcPr>
            <w:tcBorders>
              <w:top w:val="single" w:color="auto" w:sz="6" w:space="0"/>
              <w:bottom w:val="single" w:color="auto" w:sz="6" w:space="0"/>
            </w:tcBorders>
            <w:tcW w:w="840" w:type="dxa"/>
            <w:vAlign w:val="center"/>
            <w:vMerge w:val="continue"/>
            <w:textDirection w:val="tbRlV"/>
            <w:noWrap w:val="false"/>
          </w:tcPr>
          <w:p>
            <w:pPr>
              <w:ind w:left="113" w:right="113"/>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额定压缩力</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kN</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≥1050</w:t>
            </w:r>
            <w:r/>
          </w:p>
        </w:tc>
      </w:tr>
      <w:tr>
        <w:trPr>
          <w:cantSplit/>
          <w:jc w:val="center"/>
          <w:trHeight w:val="480"/>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额定推出力</w:t>
            </w:r>
            <w:r/>
          </w:p>
        </w:tc>
        <w:tc>
          <w:tcPr>
            <w:tcBorders>
              <w:top w:val="single" w:color="auto" w:sz="6" w:space="0"/>
              <w:bottom w:val="single" w:color="auto" w:sz="4"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kN </w:t>
            </w:r>
            <w:r/>
          </w:p>
        </w:tc>
        <w:tc>
          <w:tcPr>
            <w:tcBorders>
              <w:top w:val="single" w:color="auto" w:sz="6"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≥520</w:t>
            </w:r>
            <w:r/>
          </w:p>
        </w:tc>
      </w:tr>
      <w:tr>
        <w:trPr>
          <w:cantSplit/>
          <w:jc w:val="center"/>
          <w:trHeight w:val="300"/>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right w:val="single" w:color="auto" w:sz="4" w:space="0"/>
            </w:tcBorders>
            <w:tcW w:w="750" w:type="dxa"/>
            <w:vAlign w:val="center"/>
            <w:vMerge w:val="restart"/>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推压速度</w:t>
            </w:r>
            <w:r/>
          </w:p>
        </w:tc>
        <w:tc>
          <w:tcPr>
            <w:tcBorders>
              <w:top w:val="single" w:color="auto" w:sz="4" w:space="0"/>
              <w:left w:val="single" w:color="auto" w:sz="4" w:space="0"/>
              <w:bottom w:val="single" w:color="auto" w:sz="4" w:space="0"/>
            </w:tcBorders>
            <w:tcW w:w="229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空载（一级∕二级）</w:t>
            </w:r>
            <w:r/>
          </w:p>
        </w:tc>
        <w:tc>
          <w:tcPr>
            <w:tcBorders>
              <w:top w:val="single" w:color="auto" w:sz="4" w:space="0"/>
              <w:bottom w:val="single" w:color="auto" w:sz="4"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4"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≥2.0/≥4.0</w:t>
            </w:r>
            <w:r/>
          </w:p>
        </w:tc>
      </w:tr>
      <w:tr>
        <w:trPr>
          <w:cantSplit/>
          <w:jc w:val="center"/>
          <w:trHeight w:val="315"/>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tcBorders>
              <w:bottom w:val="single" w:color="auto" w:sz="4" w:space="0"/>
              <w:right w:val="single" w:color="auto" w:sz="4" w:space="0"/>
            </w:tcBorders>
            <w:tcW w:w="750" w:type="dxa"/>
            <w:vAlign w:val="center"/>
            <w:vMerge w:val="continue"/>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tcBorders>
            <w:tcW w:w="229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工作</w:t>
            </w:r>
            <w:r/>
          </w:p>
        </w:tc>
        <w:tc>
          <w:tcPr>
            <w:tcBorders>
              <w:top w:val="single" w:color="auto" w:sz="4"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4"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≥0.77</w:t>
            </w:r>
            <w:r/>
          </w:p>
        </w:tc>
      </w:tr>
      <w:tr>
        <w:trPr>
          <w:cantSplit/>
          <w:jc w:val="center"/>
          <w:trHeight w:val="390"/>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推压行程</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5050（±20）</w:t>
            </w:r>
            <w:r/>
          </w:p>
        </w:tc>
      </w:tr>
      <w:tr>
        <w:trPr>
          <w:cantSplit/>
          <w:jc w:val="center"/>
          <w:trHeight w:val="390"/>
        </w:trPr>
        <w:tc>
          <w:tcPr>
            <w:tcBorders>
              <w:top w:val="single" w:color="auto" w:sz="6" w:space="0"/>
            </w:tcBorders>
            <w:tcW w:w="840" w:type="dxa"/>
            <w:vAlign w:val="center"/>
            <w:vMerge w:val="restart"/>
            <w:textDirection w:val="tbRlV"/>
            <w:noWrap w:val="false"/>
          </w:tcPr>
          <w:p>
            <w:pPr>
              <w:ind w:right="113" w:firstLine="145"/>
              <w:jc w:val="center"/>
              <w:rPr>
                <w:rFonts w:hint="eastAsia" w:ascii="仿宋" w:hAnsi="仿宋" w:eastAsia="仿宋" w:cs="仿宋"/>
                <w:sz w:val="28"/>
                <w:szCs w:val="28"/>
              </w:rPr>
            </w:pPr>
            <w:r>
              <w:rPr>
                <w:rFonts w:hint="eastAsia" w:ascii="仿宋" w:hAnsi="仿宋" w:eastAsia="仿宋" w:cs="仿宋"/>
                <w:sz w:val="28"/>
                <w:szCs w:val="28"/>
              </w:rPr>
              <w:t xml:space="preserve">提升装置</w:t>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t xml:space="preserve">提升方式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四根立柱内举升油缸同步顶升</w:t>
            </w:r>
            <w:r/>
          </w:p>
        </w:tc>
      </w:tr>
      <w:tr>
        <w:trPr>
          <w:cantSplit/>
          <w:jc w:val="center"/>
          <w:trHeight w:val="390"/>
        </w:trPr>
        <w:tc>
          <w:tcPr>
            <w:tcBorders>
              <w:top w:val="single" w:color="auto" w:sz="6" w:space="0"/>
            </w:tcBorders>
            <w:tcW w:w="840" w:type="dxa"/>
            <w:vAlign w:val="center"/>
            <w:vMerge w:val="continue"/>
            <w:textDirection w:val="tbRlV"/>
            <w:noWrap w:val="false"/>
          </w:tcPr>
          <w:p>
            <w:pPr>
              <w:ind w:right="113"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额定提升力</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kN </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≥390</w:t>
            </w:r>
            <w:r/>
          </w:p>
        </w:tc>
      </w:tr>
      <w:tr>
        <w:trPr>
          <w:cantSplit/>
          <w:jc w:val="center"/>
          <w:trHeight w:val="390"/>
        </w:trPr>
        <w:tc>
          <w:tcPr>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提升行程</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2920（±20）</w:t>
            </w:r>
            <w:r/>
          </w:p>
        </w:tc>
      </w:tr>
      <w:tr>
        <w:trPr>
          <w:cantSplit/>
          <w:jc w:val="center"/>
          <w:trHeight w:val="390"/>
        </w:trPr>
        <w:tc>
          <w:tcPr>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提升速度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≥2.20</w:t>
            </w:r>
            <w:r/>
          </w:p>
        </w:tc>
      </w:tr>
      <w:tr>
        <w:trPr>
          <w:cantSplit/>
          <w:jc w:val="center"/>
          <w:trHeight w:val="390"/>
        </w:trPr>
        <w:tc>
          <w:tcPr>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下降速度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≥4.6</w:t>
            </w:r>
            <w:r/>
          </w:p>
        </w:tc>
      </w:tr>
      <w:tr>
        <w:trPr>
          <w:cantSplit/>
          <w:jc w:val="center"/>
          <w:trHeight w:val="390"/>
        </w:trPr>
        <w:tc>
          <w:tcPr>
            <w:gridSpan w:val="3"/>
            <w:tcBorders>
              <w:top w:val="single" w:color="auto" w:sz="4" w:space="0"/>
              <w:bottom w:val="single" w:color="auto" w:sz="4" w:space="0"/>
            </w:tcBorders>
            <w:tcW w:w="3889" w:type="dxa"/>
            <w:vAlign w:val="center"/>
            <w:textDirection w:val="lrTb"/>
            <w:noWrap w:val="false"/>
          </w:tcPr>
          <w:p>
            <w:pPr>
              <w:ind w:firstLine="316"/>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垃圾箱套入车厢的最大距离</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≥160</w:t>
            </w:r>
            <w:r/>
          </w:p>
        </w:tc>
      </w:tr>
      <w:tr>
        <w:trPr>
          <w:cantSplit/>
          <w:jc w:val="center"/>
          <w:trHeight w:val="390"/>
        </w:trPr>
        <w:tc>
          <w:tcPr>
            <w:gridSpan w:val="3"/>
            <w:tcBorders>
              <w:top w:val="single" w:color="auto" w:sz="4" w:space="0"/>
              <w:bottom w:val="single" w:color="auto" w:sz="4" w:space="0"/>
            </w:tcBorders>
            <w:tcW w:w="3889" w:type="dxa"/>
            <w:vAlign w:val="center"/>
            <w:textDirection w:val="lrTb"/>
            <w:noWrap w:val="false"/>
          </w:tcPr>
          <w:p>
            <w:pPr>
              <w:ind w:firstLine="316"/>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推板下边伸出箱体最大距离</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≥200</w:t>
            </w:r>
            <w:r/>
          </w:p>
        </w:tc>
      </w:tr>
      <w:tr>
        <w:trPr>
          <w:cantSplit/>
          <w:jc w:val="center"/>
          <w:trHeight w:val="390"/>
        </w:trPr>
        <w:tc>
          <w:tcPr>
            <w:gridSpan w:val="3"/>
            <w:tcBorders>
              <w:top w:val="single" w:color="auto" w:sz="4" w:space="0"/>
              <w:bottom w:val="single" w:color="auto" w:sz="4" w:space="0"/>
            </w:tcBorders>
            <w:tcW w:w="3889" w:type="dxa"/>
            <w:vAlign w:val="center"/>
            <w:textDirection w:val="lrTb"/>
            <w:noWrap w:val="false"/>
          </w:tcPr>
          <w:p>
            <w:pPr>
              <w:ind w:firstLine="316"/>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箱体装车面离地最大高度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≥1480</w:t>
            </w:r>
            <w:r/>
          </w:p>
        </w:tc>
      </w:tr>
    </w:tbl>
    <w:p>
      <w:pPr>
        <w:numPr>
          <w:ilvl w:val="0"/>
          <w:numId w:val="0"/>
        </w:numPr>
        <w:spacing w:line="360" w:lineRule="auto"/>
        <w:rPr>
          <w:rFonts w:hint="eastAsia" w:ascii="仿宋" w:hAnsi="仿宋" w:eastAsia="仿宋" w:cs="仿宋"/>
          <w:sz w:val="28"/>
          <w:szCs w:val="28"/>
        </w:rPr>
      </w:pPr>
      <w:r>
        <w:rPr>
          <w:rFonts w:hint="eastAsia" w:ascii="仿宋" w:hAnsi="仿宋" w:eastAsia="仿宋" w:cs="仿宋"/>
          <w:sz w:val="28"/>
          <w:szCs w:val="28"/>
        </w:rPr>
        <w:t xml:space="preserve">注：为证明投标产品为成熟可靠产品且能满足本项目现有配套设计，★重要参数投标单位需在标书内提供本项目公告日期前省级或国家级认可的检测单位出具的标有CMA标志的检测报告作为佐证，中标后需提供原件备查。</w:t>
      </w:r>
      <w:r/>
    </w:p>
    <w:p>
      <w:pPr>
        <w:numPr>
          <w:ilvl w:val="0"/>
          <w:numId w:val="0"/>
        </w:numPr>
        <w:spacing w:line="36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其他要求</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bCs/>
          <w:sz w:val="28"/>
          <w:szCs w:val="28"/>
        </w:rPr>
        <w:t xml:space="preserve">地下水平式垃圾压缩机</w:t>
      </w:r>
      <w:r>
        <w:rPr>
          <w:rFonts w:hint="eastAsia" w:ascii="仿宋" w:hAnsi="仿宋" w:eastAsia="仿宋" w:cs="仿宋"/>
          <w:sz w:val="28"/>
          <w:szCs w:val="28"/>
        </w:rPr>
        <w:t xml:space="preserve">由受圾箱总成、提升装置、液压装置、电控装置、污水收集装置、冲洗装置组成。</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2、垃圾压缩机主要零配件品牌要求为国内知名品牌产品</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3、箱体侧面加强筋采用120mm*60mm长1600mm的方管，采用厚度6mm的钢板折弯而成；箱体底板厚度≥12mm，侧板和顶板厚度≥10mm。</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4、操作系统安全性能强，采用24V安全电压操作。</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5、压缩机工作噪声符合相应国家标准。</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6、液压系统在额定油压下液压系统无外渗漏油现象。</w:t>
      </w:r>
      <w:r/>
    </w:p>
    <w:p>
      <w:pPr>
        <w:spacing w:line="360" w:lineRule="auto"/>
        <w:tabs>
          <w:tab w:val="left" w:pos="0" w:leader="none"/>
        </w:tabs>
        <w:rPr>
          <w:rFonts w:hint="eastAsia" w:ascii="仿宋" w:hAnsi="仿宋" w:eastAsia="仿宋" w:cs="仿宋"/>
          <w:sz w:val="28"/>
          <w:szCs w:val="28"/>
        </w:rPr>
      </w:pPr>
      <w:r/>
      <w:bookmarkStart w:id="38" w:name="_Hlk45954568"/>
      <w:r>
        <w:rPr>
          <w:rFonts w:hint="eastAsia" w:ascii="仿宋" w:hAnsi="仿宋" w:eastAsia="仿宋" w:cs="仿宋"/>
          <w:sz w:val="28"/>
          <w:szCs w:val="28"/>
        </w:rPr>
        <w:t xml:space="preserve">7、中标单位负责设备的运输、安装、调试及操作人员培训。</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8、压缩设备质量保修期</w:t>
      </w:r>
      <w:r>
        <w:rPr>
          <w:rFonts w:hint="eastAsia" w:ascii="仿宋" w:hAnsi="仿宋" w:eastAsia="仿宋" w:cs="仿宋"/>
          <w:sz w:val="28"/>
          <w:szCs w:val="28"/>
          <w:lang w:val="en-US" w:eastAsia="zh-CN"/>
        </w:rPr>
        <w:t xml:space="preserve">至</w:t>
      </w:r>
      <w:r>
        <w:rPr>
          <w:rFonts w:hint="eastAsia" w:ascii="仿宋" w:hAnsi="仿宋" w:eastAsia="仿宋" w:cs="仿宋"/>
          <w:sz w:val="28"/>
          <w:szCs w:val="28"/>
          <w:highlight w:val="none"/>
          <w:lang w:val="en-US" w:eastAsia="zh-CN"/>
        </w:rPr>
        <w:t xml:space="preserve">少三</w:t>
      </w:r>
      <w:r>
        <w:rPr>
          <w:rFonts w:hint="eastAsia" w:ascii="仿宋" w:hAnsi="仿宋" w:eastAsia="仿宋" w:cs="仿宋"/>
          <w:sz w:val="28"/>
          <w:szCs w:val="28"/>
          <w:highlight w:val="none"/>
        </w:rPr>
        <w:t xml:space="preserve">年，</w:t>
      </w:r>
      <w:r>
        <w:rPr>
          <w:rFonts w:hint="eastAsia" w:ascii="仿宋" w:hAnsi="仿宋" w:eastAsia="仿宋" w:cs="仿宋"/>
          <w:sz w:val="28"/>
          <w:szCs w:val="28"/>
        </w:rPr>
        <w:t xml:space="preserve">实行终身维护；质量保证期内出现质量问题，中标单位负责免费包修。</w:t>
      </w:r>
      <w:bookmarkEnd w:id="38"/>
      <w:r/>
      <w:r/>
    </w:p>
    <w:p>
      <w:pPr>
        <w:rPr>
          <w:rFonts w:hint="eastAsia" w:ascii="仿宋" w:hAnsi="仿宋" w:eastAsia="仿宋" w:cs="仿宋"/>
          <w:sz w:val="28"/>
          <w:szCs w:val="28"/>
        </w:rPr>
      </w:pPr>
      <w:r>
        <w:rPr>
          <w:rFonts w:hint="eastAsia" w:ascii="仿宋" w:hAnsi="仿宋" w:eastAsia="仿宋" w:cs="仿宋"/>
          <w:sz w:val="28"/>
          <w:szCs w:val="28"/>
        </w:rPr>
      </w:r>
      <w:r/>
    </w:p>
    <w:p>
      <w:pPr>
        <w:jc w:val="center"/>
        <w:spacing w:line="400" w:lineRule="exact"/>
        <w:rPr>
          <w:rFonts w:hint="eastAsia" w:ascii="黑体" w:hAnsi="黑体" w:eastAsia="黑体"/>
          <w:b/>
          <w:bCs/>
          <w:sz w:val="36"/>
        </w:rPr>
      </w:pPr>
      <w:r>
        <w:rPr>
          <w:rFonts w:hint="eastAsia" w:ascii="黑体" w:hAnsi="黑体" w:eastAsia="黑体"/>
          <w:b/>
          <w:bCs/>
          <w:sz w:val="36"/>
        </w:rPr>
        <w:br w:type="page" w:clear="all"/>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t xml:space="preserve">第六章  投标文件</w:t>
      </w:r>
      <w:r/>
    </w:p>
    <w:p>
      <w:pPr>
        <w:pStyle w:val="884"/>
        <w:rPr>
          <w:rFonts w:hint="eastAsia" w:ascii="黑体" w:hAnsi="黑体" w:eastAsia="黑体"/>
          <w:sz w:val="44"/>
          <w:szCs w:val="44"/>
        </w:rPr>
      </w:pPr>
      <w:r>
        <w:rPr>
          <w:rFonts w:hint="eastAsia" w:ascii="黑体" w:hAnsi="黑体" w:eastAsia="黑体"/>
          <w:sz w:val="44"/>
          <w:szCs w:val="44"/>
        </w:rPr>
      </w:r>
      <w:r/>
    </w:p>
    <w:p>
      <w:pPr>
        <w:pStyle w:val="884"/>
        <w:rPr>
          <w:rFonts w:hint="eastAsia" w:ascii="黑体" w:hAnsi="黑体" w:eastAsia="黑体"/>
          <w:sz w:val="32"/>
        </w:rPr>
      </w:pPr>
      <w:r>
        <w:rPr>
          <w:rFonts w:hint="eastAsia" w:ascii="黑体" w:hAnsi="黑体" w:eastAsia="黑体"/>
          <w:sz w:val="32"/>
        </w:rPr>
      </w:r>
      <w:r/>
    </w:p>
    <w:p>
      <w:pPr>
        <w:pStyle w:val="884"/>
        <w:rPr>
          <w:rFonts w:hint="eastAsia" w:ascii="黑体" w:hAnsi="黑体" w:eastAsia="黑体"/>
          <w:sz w:val="32"/>
        </w:rPr>
      </w:pPr>
      <w:r>
        <w:rPr>
          <w:rFonts w:hint="eastAsia" w:ascii="黑体" w:hAnsi="黑体" w:eastAsia="黑体"/>
          <w:sz w:val="32"/>
        </w:rPr>
      </w:r>
      <w:r/>
    </w:p>
    <w:p>
      <w:pPr>
        <w:pStyle w:val="884"/>
        <w:rPr>
          <w:rFonts w:hint="eastAsia" w:ascii="黑体" w:hAnsi="黑体" w:eastAsia="黑体"/>
          <w:sz w:val="32"/>
        </w:rPr>
      </w:pPr>
      <w:r>
        <w:rPr>
          <w:rFonts w:hint="eastAsia" w:ascii="黑体" w:hAnsi="黑体" w:eastAsia="黑体"/>
          <w:sz w:val="32"/>
        </w:rPr>
      </w:r>
      <w:r/>
    </w:p>
    <w:p>
      <w:pPr>
        <w:pStyle w:val="884"/>
        <w:rPr>
          <w:rFonts w:hint="eastAsia" w:ascii="黑体" w:hAnsi="黑体" w:eastAsia="黑体"/>
          <w:sz w:val="32"/>
        </w:rPr>
      </w:pPr>
      <w:r>
        <w:rPr>
          <w:rFonts w:hint="eastAsia" w:ascii="黑体" w:hAnsi="黑体" w:eastAsia="黑体"/>
          <w:sz w:val="32"/>
        </w:rPr>
      </w:r>
      <w:r/>
    </w:p>
    <w:p>
      <w:pPr>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884"/>
        <w:rPr>
          <w:rFonts w:hint="eastAsia" w:ascii="黑体" w:hAnsi="黑体" w:eastAsia="黑体"/>
          <w:sz w:val="32"/>
        </w:rPr>
      </w:pPr>
      <w:r>
        <w:rPr>
          <w:rFonts w:hint="eastAsia" w:ascii="黑体" w:hAnsi="黑体" w:eastAsia="黑体"/>
          <w:sz w:val="32"/>
        </w:rPr>
      </w:r>
      <w:r/>
    </w:p>
    <w:p>
      <w:pPr>
        <w:pStyle w:val="884"/>
        <w:ind w:firstLine="1066"/>
        <w:rPr>
          <w:rFonts w:hint="eastAsia" w:ascii="黑体" w:hAnsi="黑体" w:eastAsia="黑体"/>
          <w:b/>
          <w:sz w:val="36"/>
          <w:szCs w:val="24"/>
        </w:rPr>
      </w:pPr>
      <w:r>
        <w:rPr>
          <w:rFonts w:hint="eastAsia" w:ascii="黑体" w:hAnsi="黑体" w:eastAsia="黑体"/>
          <w:b/>
          <w:sz w:val="36"/>
          <w:szCs w:val="24"/>
        </w:rPr>
      </w:r>
      <w:r/>
    </w:p>
    <w:p>
      <w:pPr>
        <w:pStyle w:val="884"/>
        <w:ind w:firstLine="1066"/>
        <w:rPr>
          <w:rFonts w:hint="eastAsia" w:ascii="黑体" w:hAnsi="黑体" w:eastAsia="黑体"/>
          <w:b/>
          <w:sz w:val="36"/>
          <w:szCs w:val="24"/>
        </w:rPr>
      </w:pPr>
      <w:r>
        <w:rPr>
          <w:rFonts w:hint="eastAsia" w:ascii="黑体" w:hAnsi="黑体" w:eastAsia="黑体"/>
          <w:b/>
          <w:sz w:val="36"/>
          <w:szCs w:val="24"/>
        </w:rPr>
      </w:r>
      <w:r/>
    </w:p>
    <w:p>
      <w:pPr>
        <w:pStyle w:val="884"/>
        <w:ind w:firstLine="1066"/>
        <w:rPr>
          <w:rFonts w:hint="eastAsia" w:ascii="黑体" w:hAnsi="黑体" w:eastAsia="黑体"/>
          <w:b/>
          <w:sz w:val="36"/>
          <w:szCs w:val="24"/>
        </w:rPr>
      </w:pPr>
      <w:r>
        <w:rPr>
          <w:rFonts w:hint="eastAsia" w:ascii="黑体" w:hAnsi="黑体" w:eastAsia="黑体"/>
          <w:b/>
          <w:sz w:val="36"/>
          <w:szCs w:val="24"/>
        </w:rPr>
      </w:r>
      <w:r/>
    </w:p>
    <w:p>
      <w:pPr>
        <w:pStyle w:val="884"/>
        <w:ind w:firstLine="1066"/>
        <w:rPr>
          <w:rFonts w:hint="eastAsia" w:ascii="黑体" w:hAnsi="黑体" w:eastAsia="黑体"/>
          <w:b/>
          <w:sz w:val="36"/>
          <w:szCs w:val="24"/>
        </w:rPr>
      </w:pPr>
      <w:r>
        <w:rPr>
          <w:rFonts w:hint="eastAsia" w:ascii="黑体" w:hAnsi="黑体" w:eastAsia="黑体"/>
          <w:b/>
          <w:sz w:val="36"/>
          <w:szCs w:val="24"/>
        </w:rPr>
      </w:r>
      <w:r/>
    </w:p>
    <w:p>
      <w:pPr>
        <w:pStyle w:val="884"/>
        <w:ind w:firstLine="1066"/>
        <w:rPr>
          <w:rFonts w:hint="eastAsia"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066"/>
        <w:spacing w:line="400" w:lineRule="exact"/>
        <w:rPr>
          <w:rFonts w:hint="eastAsia" w:ascii="黑体" w:hAnsi="黑体" w:eastAsia="黑体"/>
          <w:b/>
          <w:bCs/>
          <w:sz w:val="32"/>
        </w:rPr>
      </w:pPr>
      <w:r>
        <w:rPr>
          <w:rFonts w:hint="eastAsia" w:ascii="黑体" w:hAnsi="黑体" w:eastAsia="黑体"/>
          <w:b/>
          <w:bCs/>
          <w:sz w:val="36"/>
        </w:rPr>
        <w:t xml:space="preserve">投 标 人:</w:t>
      </w:r>
      <w:r/>
    </w:p>
    <w:p>
      <w:pPr>
        <w:pStyle w:val="884"/>
        <w:ind w:firstLine="1904"/>
        <w:rPr>
          <w:rFonts w:hint="eastAsia" w:ascii="黑体" w:hAnsi="黑体" w:eastAsia="黑体"/>
          <w:sz w:val="32"/>
        </w:rPr>
      </w:pPr>
      <w:r>
        <w:rPr>
          <w:rFonts w:hint="eastAsia" w:ascii="黑体" w:hAnsi="黑体" w:eastAsia="黑体"/>
          <w:sz w:val="32"/>
        </w:rPr>
      </w:r>
      <w:r/>
    </w:p>
    <w:p>
      <w:pPr>
        <w:pStyle w:val="884"/>
        <w:ind w:firstLine="1904"/>
        <w:rPr>
          <w:rFonts w:hint="eastAsia" w:ascii="黑体" w:hAnsi="黑体" w:eastAsia="黑体"/>
          <w:sz w:val="32"/>
        </w:rPr>
      </w:pPr>
      <w:r>
        <w:rPr>
          <w:rFonts w:hint="eastAsia" w:ascii="黑体" w:hAnsi="黑体" w:eastAsia="黑体"/>
          <w:sz w:val="32"/>
        </w:rPr>
      </w:r>
      <w:r/>
    </w:p>
    <w:p>
      <w:pPr>
        <w:pStyle w:val="884"/>
        <w:ind w:firstLine="1904"/>
        <w:rPr>
          <w:rFonts w:hint="eastAsia" w:ascii="黑体" w:hAnsi="黑体" w:eastAsia="黑体"/>
          <w:sz w:val="32"/>
        </w:rPr>
      </w:pPr>
      <w:r>
        <w:rPr>
          <w:rFonts w:hint="eastAsia" w:ascii="黑体" w:hAnsi="黑体" w:eastAsia="黑体"/>
          <w:sz w:val="32"/>
        </w:rPr>
      </w:r>
      <w:r/>
    </w:p>
    <w:p>
      <w:pPr>
        <w:pStyle w:val="884"/>
        <w:ind w:firstLine="1904"/>
        <w:rPr>
          <w:rFonts w:hint="eastAsia" w:ascii="黑体" w:hAnsi="黑体" w:eastAsia="黑体"/>
          <w:sz w:val="32"/>
        </w:rPr>
      </w:pPr>
      <w:r>
        <w:rPr>
          <w:rFonts w:hint="eastAsia" w:ascii="黑体" w:hAnsi="黑体" w:eastAsia="黑体"/>
          <w:sz w:val="32"/>
        </w:rPr>
      </w:r>
      <w:r/>
    </w:p>
    <w:p>
      <w:pPr>
        <w:pStyle w:val="884"/>
        <w:ind w:firstLine="1904"/>
        <w:rPr>
          <w:rFonts w:hint="eastAsia" w:ascii="黑体" w:hAnsi="黑体" w:eastAsia="黑体"/>
          <w:sz w:val="32"/>
        </w:rPr>
      </w:pPr>
      <w:r>
        <w:rPr>
          <w:rFonts w:hint="eastAsia" w:ascii="黑体" w:hAnsi="黑体" w:eastAsia="黑体"/>
          <w:sz w:val="32"/>
        </w:rPr>
      </w:r>
      <w:r/>
    </w:p>
    <w:p>
      <w:pPr>
        <w:pStyle w:val="884"/>
        <w:ind w:firstLine="1904"/>
        <w:rPr>
          <w:rFonts w:hint="eastAsia" w:ascii="黑体" w:hAnsi="黑体" w:eastAsia="黑体"/>
          <w:sz w:val="32"/>
        </w:rPr>
      </w:pPr>
      <w:r>
        <w:rPr>
          <w:rFonts w:hint="eastAsia" w:ascii="黑体" w:hAnsi="黑体" w:eastAsia="黑体"/>
          <w:sz w:val="32"/>
        </w:rPr>
      </w:r>
      <w:r/>
    </w:p>
    <w:p>
      <w:pPr>
        <w:pStyle w:val="884"/>
        <w:ind w:firstLine="1904"/>
        <w:rPr>
          <w:rFonts w:hint="eastAsia" w:ascii="黑体" w:hAnsi="黑体" w:eastAsia="黑体"/>
          <w:sz w:val="32"/>
        </w:rPr>
      </w:pPr>
      <w:r>
        <w:rPr>
          <w:rFonts w:hint="eastAsia" w:ascii="黑体" w:hAnsi="黑体" w:eastAsia="黑体"/>
          <w:sz w:val="32"/>
        </w:rPr>
      </w:r>
      <w:r/>
    </w:p>
    <w:p>
      <w:pPr>
        <w:pStyle w:val="884"/>
        <w:ind w:firstLine="2891"/>
        <w:rPr>
          <w:rFonts w:hint="eastAsia" w:ascii="黑体" w:hAnsi="黑体" w:eastAsia="黑体"/>
          <w:b/>
          <w:sz w:val="32"/>
        </w:rPr>
      </w:pPr>
      <w:r>
        <w:rPr>
          <w:rFonts w:hint="eastAsia" w:ascii="黑体" w:hAnsi="黑体" w:eastAsia="黑体"/>
          <w:b/>
          <w:sz w:val="36"/>
          <w:szCs w:val="24"/>
        </w:rPr>
        <w:t xml:space="preserve">二</w:t>
      </w:r>
      <w:r>
        <w:rPr>
          <w:rFonts w:hint="eastAsia" w:ascii="黑体" w:hAnsi="黑体" w:eastAsia="黑体"/>
          <w:b/>
          <w:sz w:val="36"/>
          <w:szCs w:val="24"/>
          <w:lang w:val="en-US" w:eastAsia="zh-CN"/>
        </w:rPr>
        <w:t xml:space="preserve">〇</w:t>
      </w:r>
      <w:r>
        <w:rPr>
          <w:rFonts w:hint="eastAsia" w:ascii="黑体" w:hAnsi="黑体" w:eastAsia="黑体"/>
          <w:b/>
          <w:sz w:val="36"/>
          <w:szCs w:val="24"/>
        </w:rPr>
        <w:t xml:space="preserve">二</w:t>
      </w:r>
      <w:r>
        <w:rPr>
          <w:rFonts w:hint="eastAsia" w:ascii="黑体" w:hAnsi="黑体" w:eastAsia="黑体"/>
          <w:b/>
          <w:sz w:val="36"/>
          <w:szCs w:val="24"/>
          <w:lang w:val="en-US" w:eastAsia="zh-CN"/>
        </w:rPr>
        <w:t xml:space="preserve">六</w:t>
      </w:r>
      <w:r>
        <w:rPr>
          <w:rFonts w:hint="eastAsia" w:ascii="黑体" w:hAnsi="黑体" w:eastAsia="黑体"/>
          <w:b/>
          <w:sz w:val="36"/>
          <w:szCs w:val="24"/>
        </w:rPr>
        <w:t xml:space="preserve">年    月    日</w:t>
      </w:r>
      <w:r/>
    </w:p>
    <w:p>
      <w:pPr>
        <w:spacing w:line="600" w:lineRule="exact"/>
        <w:rPr>
          <w:rFonts w:eastAsia="方正仿宋_GBK"/>
          <w:b/>
          <w:bCs/>
          <w:sz w:val="28"/>
          <w:szCs w:val="28"/>
          <w:lang w:val="zh-CN"/>
        </w:rPr>
      </w:pPr>
      <w:r>
        <w:rPr>
          <w:rFonts w:hint="eastAsia" w:ascii="仿宋" w:hAnsi="仿宋" w:eastAsia="仿宋"/>
          <w:b/>
          <w:sz w:val="32"/>
          <w:szCs w:val="32"/>
        </w:rPr>
        <w:br w:type="page" w:clear="all"/>
      </w:r>
      <w:r/>
    </w:p>
    <w:p>
      <w:pPr>
        <w:pStyle w:val="884"/>
        <w:jc w:val="center"/>
        <w:spacing w:line="640" w:lineRule="exact"/>
        <w:rPr>
          <w:rFonts w:hint="eastAsia" w:ascii="仿宋" w:hAnsi="仿宋" w:eastAsia="仿宋"/>
          <w:b/>
          <w:sz w:val="32"/>
          <w:szCs w:val="32"/>
        </w:rPr>
      </w:pPr>
      <w:r>
        <w:rPr>
          <w:rFonts w:hint="eastAsia" w:ascii="仿宋" w:hAnsi="仿宋" w:eastAsia="仿宋"/>
          <w:b/>
          <w:sz w:val="32"/>
          <w:szCs w:val="32"/>
        </w:rPr>
        <w:t xml:space="preserve">一、投标函</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sz w:val="28"/>
        </w:rPr>
        <w:t xml:space="preserve">致:</w:t>
      </w:r>
      <w:r>
        <w:rPr>
          <w:rFonts w:hint="eastAsia" w:ascii="仿宋" w:hAnsi="仿宋" w:eastAsia="仿宋" w:cs="仿宋"/>
          <w:color w:val="000000"/>
          <w:sz w:val="28"/>
        </w:rPr>
        <w:t xml:space="preserve">淮安市清江浦区环卫事业管理服务中心</w:t>
      </w:r>
      <w:r/>
    </w:p>
    <w:p>
      <w:pPr>
        <w:pStyle w:val="935"/>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（供应商单位名称），全权处理本次项目投标的有关事宜。</w:t>
      </w:r>
      <w:r/>
    </w:p>
    <w:p>
      <w:pPr>
        <w:ind w:firstLine="560"/>
        <w:spacing w:line="640" w:lineRule="exact"/>
        <w:rPr>
          <w:rFonts w:hint="eastAsia" w:ascii="仿宋" w:hAnsi="仿宋" w:eastAsia="仿宋"/>
          <w:sz w:val="28"/>
          <w:szCs w:val="28"/>
        </w:rPr>
      </w:pPr>
      <w:r>
        <w:rPr>
          <w:rFonts w:hint="eastAsia" w:ascii="仿宋" w:hAnsi="仿宋" w:eastAsia="仿宋"/>
          <w:sz w:val="28"/>
        </w:rPr>
        <w:t xml:space="preserve">1、</w:t>
      </w:r>
      <w:r>
        <w:rPr>
          <w:rFonts w:hint="eastAsia" w:ascii="仿宋" w:hAnsi="仿宋" w:eastAsia="仿宋"/>
          <w:sz w:val="28"/>
          <w:szCs w:val="28"/>
        </w:rPr>
        <w:t xml:space="preserve">我公司没有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35"/>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3、我们接受招标文件的所有的条款和规定。</w:t>
      </w:r>
      <w:r/>
    </w:p>
    <w:p>
      <w:pPr>
        <w:pStyle w:val="935"/>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35"/>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35"/>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35"/>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35"/>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935"/>
        <w:ind w:right="560" w:firstLine="4200"/>
        <w:spacing w:before="0" w:after="0" w:line="640" w:lineRule="exact"/>
        <w:rPr>
          <w:rFonts w:hint="eastAsia" w:ascii="仿宋" w:hAnsi="仿宋" w:eastAsia="仿宋"/>
          <w:sz w:val="28"/>
          <w:u w:val="single"/>
        </w:rPr>
      </w:pPr>
      <w:r>
        <w:rPr>
          <w:rFonts w:hint="eastAsia" w:ascii="仿宋" w:hAnsi="仿宋" w:eastAsia="仿宋"/>
          <w:sz w:val="28"/>
        </w:rPr>
        <w:t xml:space="preserve">供应商名称（电子签章）:</w:t>
      </w:r>
      <w:r>
        <w:rPr>
          <w:rFonts w:hint="eastAsia" w:ascii="仿宋" w:hAnsi="仿宋" w:eastAsia="仿宋"/>
          <w:sz w:val="28"/>
          <w:u w:val="single"/>
        </w:rPr>
        <w:t xml:space="preserve">             </w:t>
      </w:r>
      <w:r/>
    </w:p>
    <w:p>
      <w:pPr>
        <w:pStyle w:val="935"/>
        <w:ind w:right="560" w:firstLine="4200"/>
        <w:spacing w:before="0" w:after="0" w:line="6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t xml:space="preserve">邮编:</w:t>
      </w:r>
      <w:r>
        <w:rPr>
          <w:rFonts w:hint="eastAsia" w:ascii="仿宋" w:hAnsi="仿宋" w:eastAsia="仿宋"/>
          <w:sz w:val="28"/>
          <w:szCs w:val="28"/>
          <w:u w:val="single"/>
        </w:rPr>
        <w:t xml:space="preserve">             </w:t>
      </w:r>
      <w:r/>
    </w:p>
    <w:p>
      <w:pPr>
        <w:ind w:right="560" w:firstLine="420"/>
        <w:jc w:val="center"/>
        <w:spacing w:line="640" w:lineRule="exact"/>
        <w:rPr>
          <w:rFonts w:hint="eastAsia" w:ascii="仿宋" w:hAnsi="仿宋" w:eastAsia="仿宋"/>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84"/>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pStyle w:val="884"/>
        <w:spacing w:line="640" w:lineRule="exact"/>
        <w:rPr>
          <w:rFonts w:hint="eastAsia" w:ascii="仿宋" w:hAnsi="仿宋" w:eastAsia="仿宋"/>
          <w:sz w:val="28"/>
          <w:szCs w:val="24"/>
        </w:rPr>
      </w:pPr>
      <w:r>
        <w:rPr>
          <w:rFonts w:hint="eastAsia" w:ascii="仿宋" w:hAnsi="仿宋" w:eastAsia="仿宋"/>
          <w:sz w:val="28"/>
          <w:szCs w:val="24"/>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jc w:val="center"/>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二、开标一览表</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Style w:val="65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7958"/>
      </w:tblGrid>
      <w:tr>
        <w:trPr>
          <w:cantSplit/>
          <w:trHeight w:val="1398" w:hRule="exact"/>
        </w:trPr>
        <w:tc>
          <w:tcPr>
            <w:tcW w:w="1004" w:type="pct"/>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rPr>
              <w:t xml:space="preserve">项目名称</w:t>
            </w:r>
            <w:r/>
          </w:p>
        </w:tc>
        <w:tc>
          <w:tcPr>
            <w:tcW w:w="3995" w:type="pct"/>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highlight w:val="yellow"/>
              </w:rPr>
            </w:r>
            <w:r/>
          </w:p>
        </w:tc>
      </w:tr>
      <w:tr>
        <w:trPr>
          <w:cantSplit/>
          <w:trHeight w:val="2261"/>
        </w:trPr>
        <w:tc>
          <w:tcPr>
            <w:tcW w:w="1004" w:type="pct"/>
            <w:vAlign w:val="center"/>
            <w:textDirection w:val="lrTb"/>
            <w:noWrap w:val="false"/>
          </w:tcPr>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p>
        </w:tc>
        <w:tc>
          <w:tcPr>
            <w:tcW w:w="3995" w:type="pct"/>
            <w:vAlign w:val="center"/>
            <w:textDirection w:val="lrTb"/>
            <w:noWrap w:val="false"/>
          </w:tcPr>
          <w:p>
            <w:pPr>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2261"/>
        </w:trPr>
        <w:tc>
          <w:tcPr>
            <w:tcW w:w="1004" w:type="pct"/>
            <w:vAlign w:val="center"/>
            <w:textDirection w:val="lrTb"/>
            <w:noWrap w:val="false"/>
          </w:tcPr>
          <w:p>
            <w:pPr>
              <w:ind w:firstLine="140"/>
              <w:jc w:val="center"/>
              <w:rPr>
                <w:rFonts w:hint="eastAsia" w:ascii="仿宋" w:hAnsi="仿宋" w:eastAsia="仿宋"/>
                <w:sz w:val="28"/>
                <w:szCs w:val="28"/>
              </w:rPr>
            </w:pPr>
            <w:r>
              <w:rPr>
                <w:rFonts w:hint="eastAsia" w:ascii="仿宋" w:hAnsi="仿宋" w:eastAsia="仿宋"/>
                <w:sz w:val="28"/>
                <w:szCs w:val="28"/>
              </w:rPr>
              <w:t xml:space="preserve">供货时间</w:t>
            </w:r>
            <w:r/>
          </w:p>
        </w:tc>
        <w:tc>
          <w:tcPr>
            <w:tcW w:w="3995" w:type="pct"/>
            <w:vAlign w:val="center"/>
            <w:textDirection w:val="lrTb"/>
            <w:noWrap w:val="false"/>
          </w:tcPr>
          <w:p>
            <w:pPr>
              <w:ind w:firstLine="140"/>
              <w:jc w:val="center"/>
              <w:rPr>
                <w:rFonts w:hint="eastAsia" w:ascii="仿宋" w:hAnsi="仿宋" w:eastAsia="仿宋"/>
                <w:sz w:val="28"/>
                <w:szCs w:val="28"/>
              </w:rPr>
            </w:pPr>
            <w:r>
              <w:rPr>
                <w:rFonts w:hint="eastAsia" w:ascii="仿宋" w:hAnsi="仿宋" w:eastAsia="仿宋"/>
                <w:sz w:val="28"/>
                <w:szCs w:val="28"/>
              </w:rPr>
              <w:t xml:space="preserve">按招标文件要求执行。</w:t>
            </w:r>
            <w:r/>
          </w:p>
        </w:tc>
      </w:tr>
    </w:tbl>
    <w:p>
      <w:pPr>
        <w:ind w:firstLine="411"/>
        <w:spacing w:line="440" w:lineRule="exact"/>
        <w:rPr>
          <w:rFonts w:hint="eastAsia" w:ascii="仿宋" w:hAnsi="仿宋" w:eastAsia="仿宋"/>
          <w:sz w:val="28"/>
          <w:szCs w:val="28"/>
        </w:rPr>
      </w:pPr>
      <w:r/>
      <w:bookmarkStart w:id="39" w:name="_Toc136924766"/>
      <w:r/>
      <w:bookmarkEnd w:id="39"/>
      <w:r/>
      <w:bookmarkStart w:id="40" w:name="_Toc157775459"/>
      <w:r/>
      <w:bookmarkEnd w:id="40"/>
      <w:r/>
      <w:r/>
    </w:p>
    <w:p>
      <w:pPr>
        <w:ind w:firstLine="411"/>
        <w:spacing w:line="440" w:lineRule="exact"/>
        <w:rPr>
          <w:rFonts w:hint="eastAsia" w:ascii="仿宋" w:hAnsi="仿宋" w:eastAsia="仿宋"/>
          <w:sz w:val="28"/>
          <w:szCs w:val="28"/>
        </w:rPr>
      </w:pPr>
      <w:r>
        <w:rPr>
          <w:rFonts w:hint="eastAsia" w:ascii="仿宋" w:hAnsi="仿宋" w:eastAsia="仿宋"/>
          <w:sz w:val="28"/>
          <w:szCs w:val="28"/>
        </w:rPr>
      </w:r>
      <w:r/>
    </w:p>
    <w:p>
      <w:pPr>
        <w:pStyle w:val="884"/>
        <w:ind w:firstLine="2875"/>
        <w:rPr>
          <w:rFonts w:hint="eastAsia" w:hAnsi="宋体"/>
          <w:b/>
          <w:sz w:val="32"/>
          <w:szCs w:val="32"/>
        </w:rPr>
      </w:pPr>
      <w:r/>
      <w:bookmarkStart w:id="41" w:name="_Toc157775468"/>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ind w:firstLine="2875"/>
        <w:rPr>
          <w:rFonts w:hint="eastAsia" w:hAnsi="宋体"/>
          <w:b/>
          <w:sz w:val="32"/>
          <w:szCs w:val="32"/>
        </w:rPr>
      </w:pPr>
      <w:r>
        <w:rPr>
          <w:rFonts w:hint="eastAsia" w:hAnsi="宋体"/>
          <w:b/>
          <w:sz w:val="32"/>
          <w:szCs w:val="32"/>
        </w:rPr>
      </w:r>
      <w:r/>
    </w:p>
    <w:p>
      <w:pPr>
        <w:pStyle w:val="884"/>
        <w:jc w:val="both"/>
        <w:rPr>
          <w:rFonts w:hint="eastAsia" w:ascii="仿宋" w:hAnsi="仿宋" w:eastAsia="仿宋"/>
          <w:b/>
          <w:sz w:val="32"/>
          <w:szCs w:val="32"/>
        </w:rPr>
      </w:pPr>
      <w:r>
        <w:rPr>
          <w:rFonts w:hint="eastAsia" w:ascii="仿宋" w:hAnsi="仿宋" w:eastAsia="仿宋"/>
          <w:b/>
          <w:sz w:val="32"/>
          <w:szCs w:val="32"/>
        </w:rPr>
      </w:r>
      <w:r/>
    </w:p>
    <w:p>
      <w:pPr>
        <w:pStyle w:val="884"/>
        <w:jc w:val="center"/>
        <w:rPr>
          <w:rFonts w:hint="eastAsia" w:ascii="仿宋" w:hAnsi="仿宋" w:eastAsia="仿宋"/>
          <w:b/>
          <w:sz w:val="32"/>
          <w:szCs w:val="32"/>
        </w:rPr>
      </w:pPr>
      <w:r>
        <w:rPr>
          <w:rFonts w:hint="eastAsia" w:ascii="仿宋" w:hAnsi="仿宋" w:eastAsia="仿宋"/>
          <w:b/>
          <w:sz w:val="32"/>
          <w:szCs w:val="32"/>
        </w:rPr>
        <w:t xml:space="preserve">三、投标报价明细表</w:t>
      </w:r>
      <w:r/>
    </w:p>
    <w:p>
      <w:pPr>
        <w:pStyle w:val="884"/>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65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388"/>
        <w:gridCol w:w="894"/>
        <w:gridCol w:w="1398"/>
        <w:gridCol w:w="1390"/>
        <w:gridCol w:w="1075"/>
        <w:gridCol w:w="920"/>
        <w:gridCol w:w="930"/>
        <w:gridCol w:w="921"/>
      </w:tblGrid>
      <w:tr>
        <w:trPr>
          <w:trHeight w:val="544"/>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生产厂家</w:t>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83"/>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96"/>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24"/>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580"/>
        </w:trPr>
        <w:tc>
          <w:tcPr>
            <w:tcMar>
              <w:left w:w="108" w:type="dxa"/>
              <w:top w:w="0" w:type="dxa"/>
              <w:right w:w="108" w:type="dxa"/>
              <w:bottom w:w="0" w:type="dxa"/>
            </w:tcMar>
            <w:tcW w:w="52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697"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449"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1030"/>
        </w:trPr>
        <w:tc>
          <w:tcPr>
            <w:gridSpan w:val="8"/>
            <w:tcMar>
              <w:left w:w="108" w:type="dxa"/>
              <w:top w:w="0" w:type="dxa"/>
              <w:right w:w="108" w:type="dxa"/>
              <w:bottom w:w="0" w:type="dxa"/>
            </w:tcMar>
            <w:tcW w:w="4537" w:type="pct"/>
            <w:vAlign w:val="center"/>
            <w:textDirection w:val="lrTb"/>
            <w:noWrap w:val="false"/>
          </w:tcPr>
          <w:p>
            <w:pPr>
              <w:pStyle w:val="884"/>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投标总报价（人民币：元）</w:t>
            </w:r>
            <w:r/>
          </w:p>
        </w:tc>
        <w:tc>
          <w:tcPr>
            <w:tcMar>
              <w:left w:w="108" w:type="dxa"/>
              <w:top w:w="0" w:type="dxa"/>
              <w:right w:w="108" w:type="dxa"/>
              <w:bottom w:w="0" w:type="dxa"/>
            </w:tcMar>
            <w:tcW w:w="462" w:type="pct"/>
            <w:textDirection w:val="lrTb"/>
            <w:noWrap w:val="false"/>
          </w:tcPr>
          <w:p>
            <w:pPr>
              <w:pStyle w:val="884"/>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pStyle w:val="884"/>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84"/>
        <w:ind w:firstLine="411"/>
        <w:spacing w:line="440" w:lineRule="exact"/>
        <w:rPr>
          <w:rFonts w:hint="eastAsia"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84"/>
        <w:ind w:firstLine="691"/>
        <w:spacing w:line="440" w:lineRule="exact"/>
        <w:rPr>
          <w:rFonts w:hint="eastAsia" w:ascii="仿宋" w:hAnsi="仿宋" w:eastAsia="仿宋"/>
          <w:sz w:val="28"/>
          <w:szCs w:val="24"/>
        </w:rPr>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p>
    <w:p>
      <w:pPr>
        <w:pStyle w:val="884"/>
        <w:ind w:firstLine="411"/>
        <w:spacing w:line="440" w:lineRule="exact"/>
        <w:rPr>
          <w:rFonts w:hint="eastAsia" w:ascii="仿宋" w:hAnsi="仿宋" w:eastAsia="仿宋"/>
          <w:sz w:val="28"/>
          <w:szCs w:val="24"/>
        </w:rPr>
      </w:pPr>
      <w:r>
        <w:rPr>
          <w:rFonts w:ascii="仿宋" w:hAnsi="仿宋" w:eastAsia="仿宋"/>
          <w:sz w:val="28"/>
          <w:szCs w:val="24"/>
        </w:rPr>
        <w:t xml:space="preserve"> </w:t>
      </w:r>
      <w:r/>
    </w:p>
    <w:p>
      <w:pPr>
        <w:pStyle w:val="884"/>
        <w:ind w:firstLine="411"/>
        <w:spacing w:line="440" w:lineRule="exact"/>
        <w:rPr>
          <w:rFonts w:hint="eastAsia" w:ascii="仿宋" w:hAnsi="仿宋" w:eastAsia="仿宋"/>
          <w:sz w:val="28"/>
          <w:szCs w:val="24"/>
        </w:rPr>
      </w:pPr>
      <w:r>
        <w:rPr>
          <w:rFonts w:ascii="仿宋" w:hAnsi="仿宋" w:eastAsia="仿宋"/>
          <w:sz w:val="28"/>
          <w:szCs w:val="24"/>
        </w:rPr>
        <w:t xml:space="preserve"> </w:t>
      </w:r>
      <w:r/>
    </w:p>
    <w:p>
      <w:pPr>
        <w:pStyle w:val="884"/>
        <w:jc w:val="center"/>
        <w:spacing w:line="440" w:lineRule="exact"/>
        <w:rPr>
          <w:rFonts w:hint="eastAsia" w:ascii="仿宋" w:hAnsi="仿宋" w:eastAsia="仿宋"/>
          <w:b/>
          <w:sz w:val="32"/>
        </w:rPr>
      </w:pPr>
      <w:r>
        <w:rPr>
          <w:rFonts w:hint="eastAsia" w:ascii="仿宋" w:hAnsi="仿宋" w:eastAsia="仿宋"/>
          <w:b/>
          <w:sz w:val="32"/>
        </w:rPr>
      </w:r>
      <w:r/>
    </w:p>
    <w:p>
      <w:pPr>
        <w:pStyle w:val="884"/>
        <w:jc w:val="center"/>
        <w:spacing w:line="440" w:lineRule="exact"/>
        <w:rPr>
          <w:rFonts w:hint="eastAsia"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65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3" w:type="dxa"/>
          <w:top w:w="0" w:type="dxa"/>
          <w:right w:w="3" w:type="dxa"/>
          <w:bottom w:w="0" w:type="dxa"/>
        </w:tblCellMar>
        <w:tblLook w:val="04A0" w:firstRow="1" w:lastRow="0" w:firstColumn="1" w:lastColumn="0" w:noHBand="0" w:noVBand="1"/>
      </w:tblPr>
      <w:tblGrid>
        <w:gridCol w:w="1196"/>
        <w:gridCol w:w="3581"/>
        <w:gridCol w:w="2594"/>
        <w:gridCol w:w="1194"/>
        <w:gridCol w:w="1187"/>
      </w:tblGrid>
      <w:tr>
        <w:trPr>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项目采购需求中主要技术</w:t>
            </w:r>
            <w:r/>
          </w:p>
          <w:p>
            <w:pPr>
              <w:jc w:val="center"/>
              <w:rPr>
                <w:rFonts w:hint="eastAsia" w:ascii="仿宋" w:hAnsi="仿宋" w:eastAsia="仿宋" w:cs="Arial"/>
                <w:sz w:val="24"/>
              </w:rPr>
            </w:pPr>
            <w:r>
              <w:rPr>
                <w:rFonts w:hint="eastAsia" w:ascii="仿宋" w:hAnsi="仿宋" w:eastAsia="仿宋" w:cs="Arial"/>
                <w:sz w:val="24"/>
              </w:rPr>
              <w:t xml:space="preserve">条款描述</w:t>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所投产品规格、型号及相应技术参数描述</w:t>
            </w:r>
            <w:r/>
          </w:p>
        </w:tc>
        <w:tc>
          <w:tcPr>
            <w:tcW w:w="612" w:type="pct"/>
            <w:vAlign w:val="center"/>
            <w:textDirection w:val="lrTb"/>
            <w:noWrap w:val="false"/>
          </w:tcPr>
          <w:p>
            <w:pPr>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spacing w:line="440" w:lineRule="exact"/>
        <w:rPr>
          <w:rFonts w:hint="eastAsia" w:ascii="仿宋" w:hAnsi="仿宋" w:eastAsia="仿宋"/>
          <w:sz w:val="28"/>
          <w:szCs w:val="28"/>
        </w:rPr>
      </w:pPr>
      <w:r>
        <w:rPr>
          <w:rFonts w:hint="eastAsia" w:ascii="仿宋" w:hAnsi="仿宋" w:eastAsia="仿宋"/>
          <w:sz w:val="28"/>
          <w:szCs w:val="28"/>
        </w:rPr>
        <w:t xml:space="preserve">（2）供应商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sz w:val="32"/>
        </w:rPr>
      </w:pPr>
      <w:r>
        <w:rPr>
          <w:rFonts w:hint="eastAsia" w:ascii="宋体" w:hAnsi="宋体"/>
          <w:bCs/>
          <w:sz w:val="32"/>
        </w:rPr>
      </w:r>
      <w:r/>
    </w:p>
    <w:p>
      <w:pPr>
        <w:pStyle w:val="882"/>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882"/>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882"/>
        <w:ind w:left="0" w:right="34" w:firstLine="2715"/>
        <w:spacing w:before="120" w:line="520" w:lineRule="exact"/>
        <w:rPr>
          <w:rFonts w:hint="eastAsia" w:ascii="宋体" w:hAnsi="宋体"/>
          <w:b/>
          <w:sz w:val="32"/>
          <w:szCs w:val="32"/>
        </w:rPr>
      </w:pPr>
      <w:r>
        <w:rPr>
          <w:rFonts w:hint="eastAsia" w:ascii="宋体" w:hAnsi="宋体"/>
          <w:b/>
          <w:sz w:val="32"/>
          <w:szCs w:val="32"/>
        </w:rPr>
      </w:r>
      <w:bookmarkEnd w:id="41"/>
      <w:r/>
    </w:p>
    <w:p>
      <w:pPr>
        <w:pStyle w:val="882"/>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882"/>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884"/>
        <w:jc w:val="center"/>
        <w:spacing w:line="520" w:lineRule="exact"/>
        <w:rPr>
          <w:rFonts w:hint="eastAsia" w:ascii="仿宋" w:hAnsi="仿宋" w:eastAsia="仿宋"/>
          <w:b/>
          <w:bCs/>
          <w:sz w:val="32"/>
          <w:szCs w:val="32"/>
        </w:rPr>
      </w:pP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供应商必须提供的资格证明文件</w:t>
      </w:r>
      <w:r/>
    </w:p>
    <w:p>
      <w:pPr>
        <w:pStyle w:val="884"/>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hint="eastAsia" w:ascii="仿宋" w:hAnsi="仿宋" w:eastAsia="仿宋"/>
          <w:sz w:val="28"/>
        </w:rPr>
      </w:pPr>
      <w:r>
        <w:rPr>
          <w:rFonts w:hint="eastAsia" w:ascii="仿宋" w:hAnsi="仿宋" w:eastAsia="仿宋"/>
          <w:sz w:val="28"/>
        </w:rPr>
        <w:t xml:space="preserve">（1）供应商</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（2）供应商提供授权委托书（格式详见示范格式二）和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lang w:val="en-US" w:eastAsia="zh-CN"/>
        </w:rPr>
        <w:t xml:space="preserve">2</w:t>
      </w:r>
      <w:r>
        <w:rPr>
          <w:rFonts w:hint="eastAsia" w:ascii="仿宋" w:hAnsi="仿宋" w:eastAsia="仿宋"/>
          <w:sz w:val="28"/>
        </w:rPr>
        <w:t xml:space="preserve">、供应商符合《</w:t>
      </w:r>
      <w:r>
        <w:rPr>
          <w:rFonts w:hint="eastAsia" w:ascii="仿宋" w:hAnsi="仿宋" w:eastAsia="仿宋"/>
          <w:sz w:val="28"/>
          <w:szCs w:val="28"/>
        </w:rPr>
        <w:t xml:space="preserve">中华人民共和国政府采购法</w:t>
      </w:r>
      <w:r>
        <w:rPr>
          <w:rFonts w:hint="eastAsia" w:ascii="仿宋" w:hAnsi="仿宋" w:eastAsia="仿宋"/>
          <w:sz w:val="28"/>
        </w:rPr>
        <w:t xml:space="preserve">》第二十二条规定条件的承诺函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szCs w:val="28"/>
        </w:rPr>
        <w:t xml:space="preserve">提供承诺书</w:t>
      </w:r>
      <w:r>
        <w:rPr>
          <w:rFonts w:hint="eastAsia" w:ascii="仿宋" w:hAnsi="仿宋" w:eastAsia="仿宋"/>
          <w:sz w:val="28"/>
        </w:rPr>
        <w:t xml:space="preserve">上传至电子标文件中，并进行电子签章</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szCs w:val="28"/>
        </w:rPr>
      </w:pPr>
      <w:r>
        <w:rPr>
          <w:rFonts w:hint="eastAsia" w:ascii="仿宋" w:hAnsi="仿宋" w:eastAsia="仿宋"/>
          <w:sz w:val="28"/>
          <w:lang w:val="en-US" w:eastAsia="zh-CN"/>
        </w:rPr>
        <w:t xml:space="preserve">3</w:t>
      </w:r>
      <w:r>
        <w:rPr>
          <w:rFonts w:hint="eastAsia" w:ascii="仿宋" w:hAnsi="仿宋" w:eastAsia="仿宋"/>
          <w:sz w:val="28"/>
          <w:lang w:val="zh-CN"/>
        </w:rPr>
        <w:t xml:space="preserve">、</w:t>
      </w:r>
      <w:r>
        <w:rPr>
          <w:rFonts w:hint="eastAsia" w:ascii="仿宋" w:hAnsi="仿宋" w:eastAsia="仿宋"/>
          <w:sz w:val="28"/>
          <w:szCs w:val="28"/>
        </w:rPr>
        <w:t xml:space="preserve">落实政府采购政策需满足的资格要求（提供下列任一项材料即可）:</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157"/>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cs="Arial"/>
          <w:b/>
          <w:bCs/>
          <w:sz w:val="32"/>
        </w:rPr>
      </w:pPr>
      <w:r>
        <w:rPr>
          <w:rFonts w:hint="eastAsia" w:ascii="宋体" w:hAnsi="宋体" w:cs="Arial"/>
          <w:b/>
          <w:bCs/>
          <w:sz w:val="32"/>
        </w:rPr>
      </w:r>
      <w:r/>
    </w:p>
    <w:p>
      <w:pPr>
        <w:ind w:firstLine="1428"/>
        <w:jc w:val="left"/>
        <w:spacing w:line="520" w:lineRule="exact"/>
        <w:widowControl/>
        <w:rPr>
          <w:rFonts w:hint="eastAsia" w:ascii="宋体" w:hAnsi="宋体"/>
          <w:b/>
          <w:sz w:val="36"/>
        </w:rPr>
      </w:pPr>
      <w:r>
        <w:rPr>
          <w:rFonts w:ascii="宋体" w:hAnsi="宋体"/>
          <w:b/>
          <w:sz w:val="36"/>
        </w:rPr>
        <w:br w:type="page" w:clear="all"/>
      </w:r>
      <w:bookmarkStart w:id="42" w:name="_Toc157775454"/>
      <w:r/>
      <w:r/>
    </w:p>
    <w:p>
      <w:pPr>
        <w:jc w:val="center"/>
        <w:spacing w:line="520" w:lineRule="exact"/>
        <w:widowControl/>
        <w:rPr>
          <w:rFonts w:hint="eastAsia" w:ascii="仿宋" w:hAnsi="仿宋" w:eastAsia="仿宋" w:cs="Arial"/>
          <w:b/>
          <w:bCs/>
          <w:sz w:val="32"/>
        </w:rPr>
      </w:pPr>
      <w:r>
        <w:rPr>
          <w:rFonts w:hint="eastAsia" w:ascii="仿宋" w:hAnsi="仿宋" w:eastAsia="仿宋" w:cs="Arial"/>
          <w:b/>
          <w:bCs/>
          <w:sz w:val="32"/>
        </w:rPr>
        <w:t xml:space="preserve">六、综合评分时供应商需提供的证明文件</w:t>
      </w:r>
      <w:r/>
    </w:p>
    <w:p>
      <w:pPr>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w:t>
      </w:r>
      <w:r>
        <w:rPr>
          <w:rFonts w:hint="eastAsia" w:ascii="仿宋" w:hAnsi="仿宋" w:eastAsia="仿宋" w:cs="楷体_GB2312"/>
          <w:sz w:val="28"/>
          <w:szCs w:val="28"/>
        </w:rPr>
        <w:t xml:space="preserve">供应商</w:t>
      </w:r>
      <w:r>
        <w:rPr>
          <w:rFonts w:hint="eastAsia" w:ascii="仿宋" w:hAnsi="仿宋" w:eastAsia="仿宋" w:cs="楷体_GB2312"/>
          <w:sz w:val="28"/>
          <w:szCs w:val="28"/>
          <w:lang w:val="zh-CN"/>
        </w:rPr>
        <w:t xml:space="preserve">根据第三章评标标准的要求提供相关材料）</w:t>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numPr>
          <w:ilvl w:val="0"/>
          <w:numId w:val="0"/>
        </w:numPr>
        <w:jc w:val="center"/>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七、</w:t>
      </w:r>
      <w:r>
        <w:rPr>
          <w:rFonts w:hint="eastAsia" w:ascii="仿宋" w:hAnsi="仿宋" w:eastAsia="仿宋" w:cs="Arial"/>
          <w:b/>
          <w:bCs/>
          <w:color w:val="auto"/>
          <w:sz w:val="32"/>
          <w:highlight w:val="none"/>
        </w:rPr>
        <w:t xml:space="preserve">涉及无效投标条款中供应商</w:t>
      </w:r>
      <w:r>
        <w:rPr>
          <w:rFonts w:hint="eastAsia" w:ascii="仿宋" w:hAnsi="仿宋" w:eastAsia="仿宋"/>
          <w:b/>
          <w:bCs/>
          <w:color w:val="auto"/>
          <w:sz w:val="32"/>
          <w:szCs w:val="32"/>
          <w:highlight w:val="none"/>
        </w:rPr>
        <w:t xml:space="preserve">必须提供的</w:t>
      </w:r>
      <w:r>
        <w:rPr>
          <w:rFonts w:hint="eastAsia" w:ascii="仿宋" w:hAnsi="仿宋" w:eastAsia="仿宋" w:cs="Arial"/>
          <w:b/>
          <w:bCs/>
          <w:color w:val="auto"/>
          <w:sz w:val="32"/>
          <w:highlight w:val="none"/>
        </w:rPr>
        <w:t xml:space="preserve">证明文件</w:t>
      </w:r>
      <w:r/>
    </w:p>
    <w:p>
      <w:pPr>
        <w:ind w:firstLine="560"/>
        <w:jc w:val="left"/>
        <w:spacing w:line="440" w:lineRule="exact"/>
        <w:rPr>
          <w:rFonts w:hint="eastAsia" w:ascii="仿宋" w:hAnsi="仿宋" w:eastAsia="仿宋" w:cs="楷体_GB2312"/>
          <w:sz w:val="28"/>
          <w:szCs w:val="28"/>
          <w:lang w:val="en-US" w:eastAsia="zh-CN"/>
        </w:rPr>
      </w:pPr>
      <w:r>
        <w:rPr>
          <w:rFonts w:hint="eastAsia" w:ascii="仿宋" w:hAnsi="仿宋" w:eastAsia="仿宋" w:cs="楷体_GB2312"/>
          <w:sz w:val="28"/>
          <w:szCs w:val="28"/>
          <w:lang w:val="en-US" w:eastAsia="zh-CN"/>
        </w:rPr>
        <w:t xml:space="preserve">1、货物须提供不少于3年的售后质保期，该要求为最低强制性标准，未满足者按无效响应处理。投标人需提供书面质保承诺函（加盖公章）。</w:t>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rPr>
      </w:pPr>
      <w:r>
        <w:rPr>
          <w:rFonts w:hint="eastAsia" w:ascii="仿宋" w:hAnsi="仿宋" w:eastAsia="仿宋"/>
          <w:b/>
          <w:sz w:val="32"/>
          <w:szCs w:val="32"/>
          <w:lang w:val="en-US" w:eastAsia="zh-CN"/>
        </w:rPr>
        <w:t xml:space="preserve">八</w:t>
      </w:r>
      <w:r>
        <w:rPr>
          <w:rFonts w:hint="eastAsia" w:ascii="仿宋" w:hAnsi="仿宋" w:eastAsia="仿宋"/>
          <w:b/>
          <w:sz w:val="32"/>
          <w:szCs w:val="32"/>
        </w:rPr>
        <w:t xml:space="preserve">、示范格式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bookmarkEnd w:id="42"/>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ind w:firstLine="2891"/>
        <w:spacing w:line="640" w:lineRule="exact"/>
        <w:rPr>
          <w:rFonts w:hint="eastAsia"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sz w:val="28"/>
          <w:szCs w:val="28"/>
        </w:rPr>
      </w:pPr>
      <w:r>
        <w:rPr>
          <w:rFonts w:hint="eastAsia"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35"/>
        <w:ind w:left="4760" w:right="560" w:hanging="1820"/>
        <w:spacing w:before="0" w:after="0"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sz w:val="28"/>
          <w:szCs w:val="28"/>
        </w:rPr>
      </w:pPr>
      <w:r>
        <w:rPr>
          <w:rFonts w:hint="eastAsia" w:ascii="仿宋" w:hAnsi="仿宋" w:eastAsia="仿宋"/>
          <w:bCs/>
          <w:sz w:val="28"/>
        </w:rPr>
        <w:t xml:space="preserve">注:供应商法定代表人</w:t>
      </w:r>
      <w:r>
        <w:rPr>
          <w:rFonts w:hint="eastAsia" w:ascii="仿宋" w:hAnsi="仿宋" w:eastAsia="仿宋"/>
          <w:bCs/>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身份证扫描件加盖供应商电子签章。</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30"/>
          <w:szCs w:val="28"/>
        </w:rPr>
        <w:t xml:space="preserve">致:</w:t>
      </w:r>
      <w:r>
        <w:rPr>
          <w:rFonts w:hint="eastAsia" w:ascii="仿宋" w:hAnsi="仿宋" w:eastAsia="仿宋" w:cs="仿宋"/>
          <w:color w:val="000000"/>
          <w:sz w:val="28"/>
        </w:rPr>
        <w:t xml:space="preserve">淮安市清江浦区环卫事业管理服务中心</w:t>
      </w:r>
      <w:r/>
    </w:p>
    <w:p>
      <w:pPr>
        <w:spacing w:line="520" w:lineRule="exact"/>
        <w:rPr>
          <w:rFonts w:hint="eastAsia" w:ascii="仿宋" w:hAnsi="仿宋" w:eastAsia="仿宋"/>
          <w:sz w:val="28"/>
          <w:szCs w:val="28"/>
        </w:rPr>
      </w:pPr>
      <w:r>
        <w:rPr>
          <w:rFonts w:hint="eastAsia" w:ascii="仿宋" w:hAnsi="仿宋" w:eastAsia="仿宋"/>
          <w:sz w:val="28"/>
          <w:szCs w:val="28"/>
        </w:rPr>
        <w:t xml:space="preserve">本授权书宣告:</w:t>
      </w:r>
      <w:r/>
    </w:p>
    <w:p>
      <w:pPr>
        <w:spacing w:line="520" w:lineRule="exact"/>
        <w:rPr>
          <w:rFonts w:hint="eastAsia" w:ascii="仿宋" w:hAnsi="仿宋" w:eastAsia="仿宋"/>
          <w:sz w:val="28"/>
          <w:szCs w:val="28"/>
        </w:rPr>
      </w:pPr>
      <w:r>
        <w:rPr>
          <w:rFonts w:hint="eastAsia" w:ascii="仿宋" w:hAnsi="仿宋" w:eastAsia="仿宋"/>
          <w:sz w:val="28"/>
          <w:szCs w:val="28"/>
        </w:rPr>
        <w:t xml:space="preserve">委托方:</w:t>
      </w:r>
      <w:r>
        <w:rPr>
          <w:rFonts w:hint="eastAsia" w:ascii="仿宋" w:hAnsi="仿宋" w:eastAsia="仿宋"/>
          <w:sz w:val="28"/>
          <w:szCs w:val="28"/>
          <w:u w:val="single"/>
        </w:rPr>
        <w:t xml:space="preserve">            </w:t>
      </w:r>
      <w:r>
        <w:rPr>
          <w:rFonts w:hint="eastAsia" w:ascii="仿宋" w:hAnsi="仿宋" w:eastAsia="仿宋"/>
          <w:sz w:val="28"/>
          <w:szCs w:val="28"/>
        </w:rPr>
        <w:t xml:space="preserve">地址:</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受托人:姓名</w:t>
      </w:r>
      <w:r>
        <w:rPr>
          <w:rFonts w:hint="eastAsia" w:ascii="仿宋" w:hAnsi="仿宋" w:eastAsia="仿宋"/>
          <w:sz w:val="28"/>
          <w:szCs w:val="28"/>
          <w:u w:val="single"/>
        </w:rPr>
        <w:t xml:space="preserve">      </w:t>
      </w:r>
      <w:r>
        <w:rPr>
          <w:rFonts w:hint="eastAsia" w:ascii="仿宋" w:hAnsi="仿宋" w:eastAsia="仿宋"/>
          <w:sz w:val="28"/>
          <w:szCs w:val="28"/>
        </w:rPr>
        <w:t xml:space="preserve"> 性别:</w:t>
      </w:r>
      <w:r>
        <w:rPr>
          <w:rFonts w:hint="eastAsia" w:ascii="仿宋" w:hAnsi="仿宋" w:eastAsia="仿宋"/>
          <w:sz w:val="28"/>
          <w:szCs w:val="28"/>
          <w:u w:val="single"/>
        </w:rPr>
        <w:t xml:space="preserve">    </w:t>
      </w:r>
      <w:r>
        <w:rPr>
          <w:rFonts w:hint="eastAsia" w:ascii="仿宋" w:hAnsi="仿宋" w:eastAsia="仿宋"/>
          <w:sz w:val="28"/>
          <w:szCs w:val="28"/>
        </w:rPr>
        <w:t xml:space="preserve"> 出生日期: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spacing w:line="520" w:lineRule="exact"/>
        <w:rPr>
          <w:rFonts w:hint="eastAsia" w:ascii="仿宋" w:hAnsi="仿宋" w:eastAsia="仿宋"/>
          <w:sz w:val="28"/>
          <w:szCs w:val="28"/>
        </w:rPr>
      </w:pPr>
      <w:r>
        <w:rPr>
          <w:rFonts w:hint="eastAsia" w:ascii="仿宋" w:hAnsi="仿宋" w:eastAsia="仿宋"/>
          <w:sz w:val="28"/>
          <w:szCs w:val="28"/>
        </w:rPr>
        <w:t xml:space="preserve">所在单位:</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身</w:t>
      </w:r>
      <w:r>
        <w:rPr>
          <w:rFonts w:ascii="仿宋" w:hAnsi="仿宋" w:eastAsia="仿宋"/>
          <w:sz w:val="28"/>
          <w:szCs w:val="28"/>
        </w:rPr>
        <w:t xml:space="preserve"> </w:t>
      </w:r>
      <w:r>
        <w:rPr>
          <w:rFonts w:hint="eastAsia" w:ascii="仿宋" w:hAnsi="仿宋" w:eastAsia="仿宋"/>
          <w:sz w:val="28"/>
          <w:szCs w:val="28"/>
        </w:rPr>
        <w:t xml:space="preserve">份</w:t>
      </w:r>
      <w:r>
        <w:rPr>
          <w:rFonts w:ascii="仿宋" w:hAnsi="仿宋" w:eastAsia="仿宋"/>
          <w:sz w:val="28"/>
          <w:szCs w:val="28"/>
        </w:rPr>
        <w:t xml:space="preserve"> </w:t>
      </w:r>
      <w:r>
        <w:rPr>
          <w:rFonts w:hint="eastAsia" w:ascii="仿宋" w:hAnsi="仿宋" w:eastAsia="仿宋"/>
          <w:sz w:val="28"/>
          <w:szCs w:val="28"/>
        </w:rPr>
        <w:t xml:space="preserve">证:</w:t>
      </w:r>
      <w:r>
        <w:rPr>
          <w:rFonts w:hint="eastAsia" w:ascii="仿宋" w:hAnsi="仿宋" w:eastAsia="仿宋"/>
          <w:sz w:val="28"/>
          <w:szCs w:val="28"/>
          <w:u w:val="single"/>
        </w:rPr>
        <w:t xml:space="preserve">                </w:t>
      </w: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兹委托受托人</w:t>
      </w:r>
      <w:r>
        <w:rPr>
          <w:rFonts w:hint="eastAsia" w:ascii="仿宋" w:hAnsi="仿宋" w:eastAsia="仿宋"/>
          <w:sz w:val="28"/>
          <w:szCs w:val="28"/>
          <w:u w:val="single"/>
        </w:rPr>
        <w:t xml:space="preserve">       </w:t>
      </w:r>
      <w:r>
        <w:rPr>
          <w:rFonts w:hint="eastAsia" w:ascii="仿宋" w:hAnsi="仿宋" w:eastAsia="仿宋"/>
          <w:sz w:val="28"/>
          <w:szCs w:val="28"/>
        </w:rPr>
        <w:t xml:space="preserve">代表我公司参加</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组织的</w:t>
      </w:r>
      <w:r>
        <w:rPr>
          <w:rFonts w:hint="eastAsia" w:ascii="仿宋" w:hAnsi="仿宋" w:eastAsia="仿宋"/>
          <w:sz w:val="28"/>
          <w:szCs w:val="28"/>
          <w:u w:val="single"/>
        </w:rPr>
        <w:t xml:space="preserve">（项目编号:           ）</w:t>
      </w:r>
      <w:r>
        <w:rPr>
          <w:rFonts w:hint="eastAsia" w:ascii="仿宋" w:hAnsi="仿宋" w:eastAsia="仿宋"/>
          <w:bCs/>
          <w:sz w:val="28"/>
          <w:u w:val="single"/>
        </w:rPr>
        <w:t xml:space="preserve">            </w:t>
      </w:r>
      <w:r>
        <w:rPr>
          <w:rFonts w:hint="eastAsia" w:ascii="仿宋" w:hAnsi="仿宋" w:eastAsia="仿宋"/>
          <w:sz w:val="28"/>
          <w:szCs w:val="28"/>
          <w:u w:val="single"/>
        </w:rPr>
        <w:t xml:space="preserve">采购项目</w:t>
      </w:r>
      <w:r>
        <w:rPr>
          <w:rFonts w:hint="eastAsia" w:ascii="仿宋" w:hAnsi="仿宋" w:eastAsia="仿宋"/>
          <w:sz w:val="28"/>
          <w:szCs w:val="28"/>
        </w:rPr>
        <w:t xml:space="preserve">的政府采购活动，受托人有权在该招标活动中，以我单位的名义签署投标函和投标文件，与代理公司协商、澄清、解释，签订合同书并执行一切与此有关的事项。</w:t>
      </w:r>
      <w:r/>
    </w:p>
    <w:p>
      <w:pPr>
        <w:spacing w:line="520" w:lineRule="exact"/>
        <w:rPr>
          <w:rFonts w:hint="eastAsia"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委托期限:至上述事宜处理完毕止。</w:t>
      </w:r>
      <w:r/>
    </w:p>
    <w:p>
      <w:pPr>
        <w:ind w:firstLine="600"/>
        <w:spacing w:line="520" w:lineRule="exact"/>
        <w:rPr>
          <w:rFonts w:hint="eastAsia" w:ascii="仿宋" w:hAnsi="仿宋" w:eastAsia="仿宋"/>
          <w:b/>
          <w:sz w:val="28"/>
          <w:szCs w:val="28"/>
        </w:rPr>
      </w:pPr>
      <w:r>
        <w:rPr>
          <w:rFonts w:hint="eastAsia" w:ascii="仿宋" w:hAnsi="仿宋" w:eastAsia="仿宋"/>
          <w:b/>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4200"/>
        <w:spacing w:line="640" w:lineRule="exact"/>
        <w:rPr>
          <w:rFonts w:hint="eastAsia" w:ascii="仿宋" w:hAnsi="仿宋" w:eastAsia="仿宋" w:cs="楷体_GB2312"/>
          <w:sz w:val="28"/>
          <w:szCs w:val="28"/>
          <w:u w:val="single"/>
          <w:lang w:val="zh-CN"/>
        </w:rPr>
      </w:pP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u w:val="single"/>
        </w:rPr>
        <w:t xml:space="preserve"> </w:t>
      </w:r>
      <w:r>
        <w:rPr>
          <w:rFonts w:hint="eastAsia" w:ascii="仿宋" w:hAnsi="仿宋" w:eastAsia="仿宋" w:cs="楷体_GB2312"/>
          <w:sz w:val="28"/>
          <w:szCs w:val="28"/>
          <w:u w:val="single"/>
          <w:lang w:val="zh-CN"/>
        </w:rPr>
        <w:t xml:space="preserve"> </w:t>
      </w:r>
      <w:r/>
    </w:p>
    <w:p>
      <w:pPr>
        <w:ind w:firstLine="420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sz w:val="28"/>
          <w:szCs w:val="28"/>
        </w:rPr>
      </w:pPr>
      <w:r>
        <w:rPr>
          <w:rFonts w:hint="eastAsia" w:ascii="仿宋" w:hAnsi="仿宋" w:eastAsia="仿宋"/>
          <w:bCs/>
          <w:sz w:val="28"/>
        </w:rPr>
        <w:t xml:space="preserve">注:供应商委托</w:t>
      </w:r>
      <w:r>
        <w:rPr>
          <w:rFonts w:hint="eastAsia" w:ascii="仿宋" w:hAnsi="仿宋" w:eastAsia="仿宋"/>
          <w:bCs/>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sz w:val="28"/>
          <w:szCs w:val="28"/>
        </w:rPr>
        <w:t xml:space="preserve">件加盖供应商电子签章。</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w:t>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的声明函</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致:</w:t>
      </w:r>
      <w:r>
        <w:rPr>
          <w:rFonts w:hint="eastAsia" w:ascii="仿宋" w:hAnsi="仿宋" w:eastAsia="仿宋" w:cs="仿宋"/>
          <w:color w:val="000000"/>
          <w:sz w:val="28"/>
        </w:rPr>
        <w:t xml:space="preserve">淮安市清江浦区环卫事业管理服务中心</w:t>
      </w:r>
      <w:r/>
    </w:p>
    <w:p>
      <w:pPr>
        <w:ind w:firstLine="840"/>
        <w:spacing w:line="520" w:lineRule="exact"/>
        <w:rPr>
          <w:rFonts w:hint="eastAsia" w:ascii="仿宋" w:hAnsi="仿宋" w:eastAsia="仿宋"/>
          <w:sz w:val="28"/>
          <w:szCs w:val="28"/>
        </w:rPr>
      </w:pPr>
      <w:r>
        <w:rPr>
          <w:rFonts w:hint="eastAsia" w:ascii="仿宋" w:hAnsi="仿宋" w:eastAsia="仿宋"/>
          <w:sz w:val="28"/>
          <w:szCs w:val="28"/>
        </w:rPr>
        <w:t xml:space="preserve">我公司参加贵中心组织实施的</w:t>
      </w:r>
      <w:r>
        <w:rPr>
          <w:rFonts w:hint="eastAsia" w:ascii="仿宋" w:hAnsi="仿宋" w:eastAsia="仿宋"/>
          <w:sz w:val="28"/>
          <w:szCs w:val="28"/>
          <w:u w:val="single"/>
        </w:rPr>
        <w:t xml:space="preserve">（项目编号:       ）</w:t>
      </w:r>
      <w:r>
        <w:rPr>
          <w:rFonts w:hint="eastAsia" w:ascii="仿宋" w:hAnsi="仿宋" w:eastAsia="仿宋"/>
          <w:bCs/>
          <w:sz w:val="28"/>
          <w:u w:val="single"/>
        </w:rPr>
        <w:t xml:space="preserve">    </w:t>
      </w:r>
      <w:r>
        <w:rPr>
          <w:rFonts w:hint="eastAsia" w:ascii="仿宋" w:hAnsi="仿宋" w:eastAsia="仿宋"/>
          <w:sz w:val="28"/>
          <w:szCs w:val="28"/>
          <w:u w:val="single"/>
        </w:rPr>
        <w:t xml:space="preserve">采购项目</w:t>
      </w:r>
      <w:r>
        <w:rPr>
          <w:rFonts w:hint="eastAsia" w:ascii="仿宋" w:hAnsi="仿宋" w:eastAsia="仿宋"/>
          <w:sz w:val="28"/>
          <w:szCs w:val="28"/>
        </w:rPr>
        <w:t xml:space="preserve">的政府采购活动。针对《中华人民共和国政府采购法》第二十二条规定做出如下声明：</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1、我单位具有独立承担民事责任的能力；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2、我单位具有良好的商业信誉和健全的财务会计制度；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3、我单位具有履行合同所必需的设备和专业技术能力；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4、我单位有依法缴纳税收和社会保障资金的良好记录；</w:t>
      </w:r>
      <w:r/>
    </w:p>
    <w:p>
      <w:pPr>
        <w:ind w:firstLine="560"/>
        <w:jc w:val="left"/>
        <w:spacing w:line="640" w:lineRule="exact"/>
        <w:rPr>
          <w:rFonts w:hint="eastAsia"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sz w:val="28"/>
          <w:szCs w:val="28"/>
        </w:rPr>
        <w:t xml:space="preserve"> </w:t>
      </w:r>
      <w:r/>
    </w:p>
    <w:p>
      <w:pPr>
        <w:ind w:firstLine="638"/>
        <w:spacing w:line="520" w:lineRule="exact"/>
        <w:rPr>
          <w:rFonts w:hint="eastAsia" w:ascii="仿宋" w:hAnsi="仿宋" w:eastAsia="仿宋"/>
          <w:sz w:val="28"/>
          <w:szCs w:val="28"/>
        </w:rPr>
      </w:pPr>
      <w:r>
        <w:rPr>
          <w:rFonts w:hint="eastAsia" w:ascii="仿宋" w:hAnsi="仿宋" w:eastAsia="仿宋"/>
          <w:sz w:val="28"/>
          <w:szCs w:val="28"/>
        </w:rPr>
        <w:t xml:space="preserve">6、我单位满足法律、行政法规规定的其他条件。</w:t>
      </w:r>
      <w:r/>
    </w:p>
    <w:p>
      <w:pPr>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spacing w:line="640" w:lineRule="exact"/>
        <w:rPr>
          <w:rFonts w:hint="eastAsia" w:ascii="仿宋" w:hAnsi="仿宋" w:eastAsia="仿宋"/>
          <w:sz w:val="28"/>
          <w:szCs w:val="28"/>
        </w:rPr>
      </w:pPr>
      <w:r>
        <w:rPr>
          <w:rFonts w:hint="eastAsia" w:ascii="仿宋" w:hAnsi="仿宋" w:eastAsia="仿宋"/>
          <w:sz w:val="28"/>
          <w:szCs w:val="28"/>
        </w:rPr>
      </w:r>
      <w:r/>
    </w:p>
    <w:p>
      <w:pPr>
        <w:ind w:firstLine="4480"/>
        <w:spacing w:line="640" w:lineRule="exact"/>
        <w:rPr>
          <w:rFonts w:hint="eastAsia" w:ascii="仿宋" w:hAnsi="仿宋" w:eastAsia="仿宋" w:cs="楷体_GB2312"/>
          <w:sz w:val="28"/>
          <w:szCs w:val="28"/>
          <w:u w:val="single"/>
          <w:lang w:val="zh-CN"/>
        </w:rPr>
      </w:pP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b/>
          <w:sz w:val="32"/>
          <w:szCs w:val="32"/>
        </w:rPr>
        <w:t xml:space="preserve">示范格式四</w:t>
      </w:r>
      <w:r/>
    </w:p>
    <w:p>
      <w:pPr>
        <w:jc w:val="center"/>
        <w:rPr>
          <w:rFonts w:hint="eastAsia" w:ascii="仿宋" w:hAnsi="仿宋" w:eastAsia="仿宋"/>
          <w:b/>
          <w:bCs/>
          <w:sz w:val="32"/>
          <w:szCs w:val="32"/>
        </w:rPr>
      </w:pPr>
      <w:r>
        <w:rPr>
          <w:rFonts w:hint="eastAsia" w:ascii="仿宋" w:hAnsi="仿宋" w:eastAsia="仿宋"/>
          <w:b/>
          <w:bCs/>
          <w:sz w:val="32"/>
          <w:szCs w:val="32"/>
        </w:rPr>
        <w:t xml:space="preserve">企业声明函（货物类）</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致:</w:t>
      </w:r>
      <w:r>
        <w:rPr>
          <w:rFonts w:hint="eastAsia" w:ascii="仿宋" w:hAnsi="仿宋" w:eastAsia="仿宋" w:cs="仿宋"/>
          <w:color w:val="000000"/>
          <w:sz w:val="28"/>
        </w:rPr>
        <w:t xml:space="preserve">淮安市清江浦区环卫事业管理服务中心</w:t>
      </w:r>
      <w:r/>
    </w:p>
    <w:p>
      <w:pPr>
        <w:pStyle w:val="86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采购活动，提供的货物全部由符合政策要求的中小企业制造。相关企业的具体情况如下： </w:t>
      </w:r>
      <w:r/>
    </w:p>
    <w:p>
      <w:pPr>
        <w:pStyle w:val="86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1. </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p>
    <w:p>
      <w:pPr>
        <w:pStyle w:val="86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 （标的名称）</w:t>
      </w:r>
      <w:r>
        <w:rPr>
          <w:rFonts w:hint="eastAsia" w:ascii="仿宋" w:hAnsi="仿宋" w:eastAsia="仿宋"/>
          <w:bCs/>
          <w:sz w:val="28"/>
          <w:szCs w:val="28"/>
        </w:rPr>
        <w:t xml:space="preserve"> ，属于（采购文件中明确的所属行业）行业；制造商为（企业名称），从业人员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p>
    <w:p>
      <w:pPr>
        <w:pStyle w:val="866"/>
        <w:ind w:firstLine="560"/>
        <w:spacing w:line="600" w:lineRule="exact"/>
        <w:rPr>
          <w:rFonts w:hint="eastAsia" w:ascii="仿宋" w:hAnsi="仿宋" w:eastAsia="仿宋"/>
          <w:bCs/>
          <w:sz w:val="28"/>
          <w:szCs w:val="28"/>
        </w:rPr>
      </w:pPr>
      <w:r>
        <w:rPr>
          <w:rFonts w:ascii="Arial" w:hAnsi="Arial" w:eastAsia="仿宋" w:cs="Arial"/>
          <w:bCs/>
          <w:sz w:val="28"/>
          <w:szCs w:val="28"/>
        </w:rPr>
        <w:t xml:space="preserve">……</w:t>
      </w:r>
      <w:r/>
    </w:p>
    <w:p>
      <w:pPr>
        <w:pStyle w:val="86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p>
    <w:p>
      <w:pPr>
        <w:pStyle w:val="86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w:t>
      </w:r>
      <w:r/>
    </w:p>
    <w:p>
      <w:pPr>
        <w:ind w:firstLine="392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3920"/>
        <w:spacing w:line="640" w:lineRule="exact"/>
        <w:rPr>
          <w:rFonts w:hint="eastAsia" w:ascii="仿宋" w:hAnsi="仿宋" w:eastAsia="仿宋" w:cs="楷体_GB2312"/>
          <w:sz w:val="28"/>
          <w:szCs w:val="28"/>
          <w:u w:val="single"/>
          <w:lang w:val="zh-CN"/>
        </w:rPr>
      </w:pP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ind w:firstLine="392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66"/>
        <w:ind w:firstLine="0"/>
        <w:spacing w:line="600" w:lineRule="exact"/>
        <w:rPr>
          <w:rFonts w:hint="eastAsia" w:ascii="仿宋" w:hAnsi="仿宋" w:eastAsia="仿宋"/>
          <w:bCs/>
          <w:sz w:val="28"/>
          <w:szCs w:val="28"/>
        </w:rPr>
      </w:pPr>
      <w:r>
        <w:rPr>
          <w:rFonts w:hint="eastAsia" w:ascii="仿宋" w:hAnsi="仿宋" w:eastAsia="仿宋"/>
          <w:bCs/>
          <w:sz w:val="28"/>
          <w:szCs w:val="28"/>
        </w:rPr>
        <w:t xml:space="preserve">注：从业人员、营业收入、资产总额填报上一年度数据，无上一年度数据的新成立企业可不填报。</w:t>
      </w:r>
      <w:r/>
    </w:p>
    <w:p>
      <w:pPr>
        <w:pStyle w:val="866"/>
        <w:ind w:firstLine="0"/>
        <w:spacing w:line="600" w:lineRule="exact"/>
        <w:rPr>
          <w:rFonts w:hint="eastAsia" w:ascii="仿宋" w:hAnsi="仿宋" w:eastAsia="仿宋"/>
          <w:bCs/>
          <w:sz w:val="28"/>
          <w:szCs w:val="28"/>
        </w:rPr>
      </w:pPr>
      <w:r>
        <w:rPr>
          <w:rFonts w:hint="eastAsia" w:ascii="仿宋" w:hAnsi="仿宋" w:eastAsia="仿宋"/>
          <w:bCs/>
          <w:sz w:val="28"/>
          <w:szCs w:val="28"/>
        </w:rPr>
      </w:r>
      <w:r/>
    </w:p>
    <w:p>
      <w:pPr>
        <w:pStyle w:val="866"/>
        <w:ind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866"/>
        <w:ind w:firstLine="0"/>
        <w:jc w:val="left"/>
        <w:spacing w:line="520" w:lineRule="exact"/>
        <w:rPr>
          <w:rFonts w:hint="eastAsia" w:ascii="仿宋" w:hAnsi="仿宋" w:eastAsia="仿宋"/>
          <w:b/>
          <w:bCs/>
          <w:sz w:val="32"/>
          <w:szCs w:val="32"/>
        </w:rPr>
      </w:pPr>
      <w:r>
        <w:rPr>
          <w:rFonts w:hint="eastAsia" w:ascii="仿宋" w:hAnsi="仿宋" w:eastAsia="仿宋"/>
          <w:b/>
          <w:sz w:val="32"/>
          <w:szCs w:val="32"/>
        </w:rPr>
        <w:t xml:space="preserve">示范格式五</w:t>
      </w:r>
      <w:r/>
    </w:p>
    <w:p>
      <w:pPr>
        <w:jc w:val="center"/>
        <w:spacing w:line="640" w:lineRule="exact"/>
        <w:widowControl/>
        <w:rPr>
          <w:rFonts w:hint="eastAsia" w:ascii="仿宋" w:hAnsi="仿宋" w:eastAsia="仿宋" w:cs="宋体"/>
          <w:sz w:val="24"/>
        </w:rPr>
      </w:pPr>
      <w:r>
        <w:rPr>
          <w:rFonts w:hint="eastAsia" w:ascii="仿宋" w:hAnsi="仿宋" w:eastAsia="仿宋" w:cs="宋体"/>
          <w:b/>
          <w:bCs/>
          <w:sz w:val="32"/>
          <w:szCs w:val="32"/>
        </w:rPr>
        <w:t xml:space="preserve">残疾人福利性单位声明函</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致:</w:t>
      </w:r>
      <w:r>
        <w:rPr>
          <w:rFonts w:hint="eastAsia" w:ascii="仿宋" w:hAnsi="仿宋" w:eastAsia="仿宋" w:cs="仿宋"/>
          <w:color w:val="000000"/>
          <w:sz w:val="28"/>
        </w:rPr>
        <w:t xml:space="preserve">淮安市清江浦区环卫事业管理服务中心</w:t>
      </w:r>
      <w:r/>
    </w:p>
    <w:p>
      <w:pPr>
        <w:pStyle w:val="866"/>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66"/>
        <w:ind w:firstLine="560"/>
        <w:spacing w:line="64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866"/>
        <w:ind w:firstLine="560"/>
        <w:spacing w:line="640" w:lineRule="exac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w:t>
      </w:r>
      <w:r>
        <w:rPr>
          <w:rFonts w:ascii="仿宋" w:hAnsi="仿宋" w:eastAsia="仿宋"/>
          <w:bCs/>
          <w:sz w:val="28"/>
          <w:szCs w:val="28"/>
        </w:rPr>
        <w:t xml:space="preserve"> </w:t>
      </w:r>
      <w:r>
        <w:rPr>
          <w:rFonts w:hint="eastAsia" w:ascii="仿宋" w:hAnsi="仿宋" w:eastAsia="仿宋"/>
          <w:bCs/>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66"/>
        <w:ind w:firstLine="560"/>
        <w:spacing w:line="640" w:lineRule="exact"/>
        <w:rPr>
          <w:rFonts w:hint="eastAsia"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866"/>
        <w:ind w:firstLine="560"/>
        <w:spacing w:line="640" w:lineRule="exact"/>
        <w:rPr>
          <w:rFonts w:hint="eastAsia" w:ascii="仿宋" w:hAnsi="仿宋" w:eastAsia="仿宋"/>
          <w:sz w:val="28"/>
          <w:szCs w:val="28"/>
        </w:rPr>
      </w:pPr>
      <w:r>
        <w:rPr>
          <w:rFonts w:hint="eastAsia"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sz w:val="28"/>
        </w:rPr>
        <w:t xml:space="preserve">残疾人福利性单位不</w:t>
      </w:r>
      <w:r>
        <w:rPr>
          <w:rFonts w:hint="eastAsia" w:ascii="仿宋" w:hAnsi="仿宋" w:eastAsia="仿宋"/>
          <w:sz w:val="28"/>
          <w:szCs w:val="28"/>
        </w:rPr>
        <w:t xml:space="preserve">需提供此函。</w:t>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jc w:val="left"/>
        <w:spacing w:line="640" w:lineRule="exact"/>
        <w:widowControl/>
        <w:rPr>
          <w:rFonts w:hint="eastAsia" w:ascii="宋体" w:hAnsi="宋体"/>
          <w:b/>
          <w:sz w:val="32"/>
          <w:highlight w:val="none"/>
          <w:lang w:val="en-US" w:eastAsia="zh-CN"/>
        </w:rPr>
      </w:pPr>
      <w:r>
        <w:rPr>
          <w:rFonts w:hint="eastAsia" w:ascii="宋体" w:hAnsi="宋体"/>
          <w:b/>
          <w:sz w:val="32"/>
          <w:highlight w:val="none"/>
        </w:rPr>
        <w:t xml:space="preserve">示范格式</w:t>
      </w:r>
      <w:r>
        <w:rPr>
          <w:rFonts w:hint="eastAsia" w:ascii="宋体" w:hAnsi="宋体"/>
          <w:b/>
          <w:sz w:val="32"/>
          <w:highlight w:val="none"/>
          <w:lang w:val="en-US" w:eastAsia="zh-CN"/>
        </w:rPr>
        <w:t xml:space="preserve">六</w:t>
      </w:r>
      <w:r/>
    </w:p>
    <w:p>
      <w:pPr>
        <w:pStyle w:val="652"/>
        <w:ind w:firstLine="560"/>
        <w:jc w:val="center"/>
        <w:spacing w:line="64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rPr>
        <w:t xml:space="preserve">关于符合本国产品标准的声明函</w:t>
      </w:r>
      <w:r>
        <w:rPr>
          <w:rFonts w:hint="eastAsia" w:ascii="仿宋" w:hAnsi="仿宋" w:eastAsia="仿宋" w:cs="仿宋"/>
          <w:b/>
          <w:bCs/>
          <w:sz w:val="28"/>
          <w:szCs w:val="28"/>
          <w:highlight w:val="none"/>
          <w:lang w:val="en-US" w:eastAsia="zh-CN"/>
        </w:rPr>
        <w:t xml:space="preserve"> </w:t>
      </w:r>
      <w:r/>
    </w:p>
    <w:p>
      <w:pPr>
        <w:rPr>
          <w:rFonts w:hint="eastAsia" w:ascii="仿宋" w:hAnsi="仿宋" w:eastAsia="仿宋" w:cs="仿宋"/>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szCs w:val="28"/>
          <w:highlight w:val="none"/>
        </w:rPr>
        <w:t xml:space="preserve">致</w:t>
      </w:r>
      <w:r>
        <w:rPr>
          <w:rFonts w:hint="eastAsia" w:ascii="仿宋" w:hAnsi="仿宋" w:eastAsia="仿宋" w:cs="仿宋"/>
          <w:bCs/>
          <w:sz w:val="28"/>
          <w:szCs w:val="28"/>
          <w:highlight w:val="none"/>
          <w:lang w:eastAsia="zh-CN"/>
        </w:rPr>
        <w:t xml:space="preserve">：</w:t>
      </w:r>
      <w:r>
        <w:rPr>
          <w:rFonts w:hint="eastAsia" w:ascii="仿宋" w:hAnsi="仿宋" w:eastAsia="仿宋" w:cs="仿宋"/>
          <w:color w:val="000000"/>
          <w:sz w:val="28"/>
        </w:rPr>
        <w:t xml:space="preserve">淮安市清江浦区环卫事业管理服务中心</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1.（产品名称1）1，生产厂为（厂名）2，厂址为（生产厂址）。（产品名称1） 的中国境内生产的组件成本占比≥（规定比例）3。（产品名称1）的（关键组件）4在中国境内生产。（产品名称1）的（关键工序）5在中国境内完成。</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本公司（单位）对上述声明内容的真实性负责。如有虚假，愿承担相应法律责任。</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公司（单位）名称（盖章）：　</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                             日期：   年　  月　  日         </w:t>
      </w:r>
      <w:r/>
    </w:p>
    <w:p>
      <w:pPr>
        <w:pStyle w:val="866"/>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注：</w:t>
      </w:r>
      <w:r/>
    </w:p>
    <w:p>
      <w:pPr>
        <w:pStyle w:val="866"/>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1.产品如有型号，请在“产品名称”栏一并填写。</w:t>
      </w:r>
      <w:r/>
    </w:p>
    <w:p>
      <w:pPr>
        <w:pStyle w:val="866"/>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2.生产厂名与厂址应与生产厂营业执照载明的相关信息保持一致。</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3.该产品的中国境内生产的组件成本占比相关要求实施前，“规定比例”栏可不填，下同。</w:t>
      </w:r>
      <w:r/>
    </w:p>
    <w:p>
      <w:pPr>
        <w:pStyle w:val="866"/>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4.该产品的关键组件要求实施前，“关键组件”栏可不填，下同。</w:t>
      </w:r>
      <w:r/>
    </w:p>
    <w:p>
      <w:pPr>
        <w:pStyle w:val="866"/>
        <w:ind w:firstLine="48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bCs/>
          <w:sz w:val="28"/>
          <w:szCs w:val="28"/>
          <w:highlight w:val="none"/>
        </w:rPr>
        <w:t xml:space="preserve">5.该产品的关键工序要求实施前，“关键工序”栏可不填，下同。</w:t>
      </w:r>
      <w:r/>
    </w:p>
    <w:sectPr>
      <w:headerReference w:type="default" r:id="rId9"/>
      <w:footerReference w:type="default" r:id="rId10"/>
      <w:footnotePr/>
      <w:endnotePr/>
      <w:type w:val="nextPage"/>
      <w:pgSz w:w="11906" w:h="16838" w:orient="portrait"/>
      <w:pgMar w:top="1327" w:right="1080" w:bottom="1327"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行楷">
    <w:panose1 w:val="02010800040101010101"/>
  </w:font>
  <w:font w:name="Wingdings">
    <w:panose1 w:val="05000000000000000000"/>
  </w:font>
  <w:font w:name="Times New Roman (正文 CS 字体)">
    <w:panose1 w:val="02020603050405020304"/>
  </w:font>
  <w:font w:name="Symbol">
    <w:panose1 w:val="05050102010706020507"/>
  </w:font>
  <w:font w:name="仿宋">
    <w:panose1 w:val="02010609060101010101"/>
  </w:font>
  <w:font w:name="Tahoma">
    <w:panose1 w:val="020B0604030504040204"/>
  </w:font>
  <w:font w:name="Constantia">
    <w:panose1 w:val="02030602050306030303"/>
  </w:font>
  <w:font w:name="楷体_GB2312">
    <w:panose1 w:val="02010609060101010101"/>
  </w:font>
  <w:font w:name="微软雅黑">
    <w:panose1 w:val="020B0503020204020204"/>
  </w:font>
  <w:font w:name="Calibri">
    <w:panose1 w:val="020F0502020204030204"/>
  </w:font>
  <w:font w:name="方正仿宋_GBK">
    <w:panose1 w:val="020B0503020202020204"/>
  </w:font>
  <w:font w:name="Adobe 仿宋 Std R">
    <w:panose1 w:val="020B0503020202020204"/>
  </w:font>
  <w:font w:name="Cambria">
    <w:panose1 w:val="02040503050406030204"/>
  </w:font>
  <w:font w:name="Courier New">
    <w:panose1 w:val="02070309020205020404"/>
  </w:font>
  <w:font w:name="黑体">
    <w:panose1 w:val="02010609060101010101"/>
  </w:font>
  <w:font w:name="仿宋_GB2312">
    <w:panose1 w:val="02010609060101010101"/>
  </w:font>
  <w:font w:name="Verdana">
    <w:panose1 w:val="020B0604030504040204"/>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03"/>
      </w:rPr>
      <w:framePr w:wrap="around" w:vAnchor="text" w:hAnchor="margin" w:xAlign="center" w:y="1"/>
    </w:pPr>
    <w:r>
      <w:fldChar w:fldCharType="begin"/>
    </w:r>
    <w:r>
      <w:rPr>
        <w:rStyle w:val="903"/>
      </w:rPr>
      <w:instrText xml:space="preserve">PAGE  </w:instrText>
    </w:r>
    <w:r>
      <w:fldChar w:fldCharType="separate"/>
    </w:r>
    <w:r>
      <w:rPr>
        <w:rStyle w:val="903"/>
      </w:rPr>
      <w:t xml:space="preserve">1</w:t>
    </w:r>
    <w:r>
      <w:fldChar w:fldCharType="end"/>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280"/>
      <w:rPr>
        <w:rFonts w:hint="eastAsia" w:ascii="华文行楷" w:hAnsi="黑体" w:eastAsia="华文行楷"/>
        <w:sz w:val="28"/>
        <w:szCs w:val="28"/>
      </w:rPr>
    </w:pPr>
    <w:r>
      <w:rPr>
        <w:rFonts w:hint="eastAsia" w:ascii="华文行楷" w:hAnsi="黑体" w:eastAsia="华文行楷"/>
        <w:color w:val="000000"/>
        <w:sz w:val="28"/>
        <w:szCs w:val="28"/>
        <w:lang w:eastAsia="zh-CN"/>
      </w:rPr>
      <w:t xml:space="preserve">垃圾中转站设施设备、公厕新建及改造项目（地埋水平压缩式设备采购）</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46"/>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1"/>
      <w:numFmt w:val="chineseCountingThousand"/>
      <w:pStyle w:val="936"/>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chineseCountingThousand"/>
      <w:pStyle w:val="949"/>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0">
    <w:name w:val="Heading 1"/>
    <w:basedOn w:val="639"/>
    <w:next w:val="639"/>
    <w:link w:val="716"/>
    <w:uiPriority w:val="9"/>
    <w:qFormat/>
    <w:pPr>
      <w:keepLines/>
      <w:keepNext/>
      <w:spacing w:before="480" w:after="200"/>
      <w:outlineLvl w:val="0"/>
    </w:pPr>
    <w:rPr>
      <w:rFonts w:ascii="Arial" w:hAnsi="Arial" w:eastAsia="Arial" w:cs="Arial"/>
      <w:sz w:val="40"/>
      <w:szCs w:val="40"/>
    </w:rPr>
  </w:style>
  <w:style w:type="paragraph" w:styleId="641">
    <w:name w:val="Heading 2"/>
    <w:basedOn w:val="639"/>
    <w:next w:val="639"/>
    <w:link w:val="717"/>
    <w:uiPriority w:val="9"/>
    <w:unhideWhenUsed/>
    <w:qFormat/>
    <w:pPr>
      <w:keepLines/>
      <w:keepNext/>
      <w:spacing w:before="360" w:after="200"/>
      <w:outlineLvl w:val="1"/>
    </w:pPr>
    <w:rPr>
      <w:rFonts w:ascii="Arial" w:hAnsi="Arial" w:eastAsia="Arial" w:cs="Arial"/>
      <w:sz w:val="34"/>
    </w:rPr>
  </w:style>
  <w:style w:type="paragraph" w:styleId="642">
    <w:name w:val="Heading 3"/>
    <w:basedOn w:val="639"/>
    <w:next w:val="639"/>
    <w:link w:val="718"/>
    <w:uiPriority w:val="9"/>
    <w:unhideWhenUsed/>
    <w:qFormat/>
    <w:pPr>
      <w:keepLines/>
      <w:keepNext/>
      <w:spacing w:before="320" w:after="200"/>
      <w:outlineLvl w:val="2"/>
    </w:pPr>
    <w:rPr>
      <w:rFonts w:ascii="Arial" w:hAnsi="Arial" w:eastAsia="Arial" w:cs="Arial"/>
      <w:sz w:val="30"/>
      <w:szCs w:val="30"/>
    </w:rPr>
  </w:style>
  <w:style w:type="paragraph" w:styleId="643">
    <w:name w:val="Heading 4"/>
    <w:basedOn w:val="639"/>
    <w:next w:val="639"/>
    <w:link w:val="719"/>
    <w:uiPriority w:val="9"/>
    <w:unhideWhenUsed/>
    <w:qFormat/>
    <w:pPr>
      <w:keepLines/>
      <w:keepNext/>
      <w:spacing w:before="320" w:after="200"/>
      <w:outlineLvl w:val="3"/>
    </w:pPr>
    <w:rPr>
      <w:rFonts w:ascii="Arial" w:hAnsi="Arial" w:eastAsia="Arial" w:cs="Arial"/>
      <w:b/>
      <w:bCs/>
      <w:sz w:val="26"/>
      <w:szCs w:val="26"/>
    </w:rPr>
  </w:style>
  <w:style w:type="paragraph" w:styleId="644">
    <w:name w:val="Heading 5"/>
    <w:basedOn w:val="639"/>
    <w:next w:val="639"/>
    <w:link w:val="720"/>
    <w:uiPriority w:val="9"/>
    <w:unhideWhenUsed/>
    <w:qFormat/>
    <w:pPr>
      <w:keepLines/>
      <w:keepNext/>
      <w:spacing w:before="320" w:after="200"/>
      <w:outlineLvl w:val="4"/>
    </w:pPr>
    <w:rPr>
      <w:rFonts w:ascii="Arial" w:hAnsi="Arial" w:eastAsia="Arial" w:cs="Arial"/>
      <w:b/>
      <w:bCs/>
      <w:sz w:val="24"/>
    </w:rPr>
  </w:style>
  <w:style w:type="paragraph" w:styleId="645">
    <w:name w:val="Heading 6"/>
    <w:basedOn w:val="639"/>
    <w:next w:val="639"/>
    <w:link w:val="721"/>
    <w:uiPriority w:val="9"/>
    <w:unhideWhenUsed/>
    <w:qFormat/>
    <w:pPr>
      <w:keepLines/>
      <w:keepNext/>
      <w:spacing w:before="320" w:after="200"/>
      <w:outlineLvl w:val="5"/>
    </w:pPr>
    <w:rPr>
      <w:rFonts w:ascii="Arial" w:hAnsi="Arial" w:eastAsia="Arial" w:cs="Arial"/>
      <w:b/>
      <w:bCs/>
      <w:sz w:val="22"/>
      <w:szCs w:val="22"/>
    </w:rPr>
  </w:style>
  <w:style w:type="paragraph" w:styleId="646">
    <w:name w:val="Heading 7"/>
    <w:basedOn w:val="639"/>
    <w:next w:val="639"/>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47">
    <w:name w:val="Heading 8"/>
    <w:basedOn w:val="639"/>
    <w:next w:val="639"/>
    <w:link w:val="723"/>
    <w:uiPriority w:val="9"/>
    <w:unhideWhenUsed/>
    <w:qFormat/>
    <w:pPr>
      <w:keepLines/>
      <w:keepNext/>
      <w:spacing w:before="320" w:after="200"/>
      <w:outlineLvl w:val="7"/>
    </w:pPr>
    <w:rPr>
      <w:rFonts w:ascii="Arial" w:hAnsi="Arial" w:eastAsia="Arial" w:cs="Arial"/>
      <w:i/>
      <w:iCs/>
      <w:sz w:val="22"/>
      <w:szCs w:val="22"/>
    </w:rPr>
  </w:style>
  <w:style w:type="paragraph" w:styleId="648">
    <w:name w:val="Heading 9"/>
    <w:basedOn w:val="639"/>
    <w:next w:val="639"/>
    <w:link w:val="724"/>
    <w:uiPriority w:val="9"/>
    <w:unhideWhenUsed/>
    <w:qFormat/>
    <w:pPr>
      <w:keepLines/>
      <w:keepNext/>
      <w:spacing w:before="320" w:after="200"/>
      <w:outlineLvl w:val="8"/>
    </w:pPr>
    <w:rPr>
      <w:rFonts w:ascii="Arial" w:hAnsi="Arial" w:eastAsia="Arial" w:cs="Arial"/>
      <w:i/>
      <w:iCs/>
      <w:szCs w:val="21"/>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toc 7"/>
    <w:basedOn w:val="639"/>
    <w:next w:val="639"/>
    <w:uiPriority w:val="39"/>
    <w:unhideWhenUsed/>
    <w:qFormat/>
    <w:pPr>
      <w:ind w:left="1701"/>
      <w:spacing w:after="57"/>
    </w:pPr>
  </w:style>
  <w:style w:type="paragraph" w:styleId="652">
    <w:name w:val="Normal Indent"/>
    <w:basedOn w:val="639"/>
    <w:uiPriority w:val="0"/>
    <w:qFormat/>
    <w:pPr>
      <w:ind w:firstLine="420"/>
    </w:pPr>
    <w:rPr>
      <w:szCs w:val="20"/>
    </w:rPr>
  </w:style>
  <w:style w:type="paragraph" w:styleId="653">
    <w:name w:val="Caption"/>
    <w:basedOn w:val="639"/>
    <w:next w:val="6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4">
    <w:name w:val="annotation text"/>
    <w:basedOn w:val="639"/>
    <w:uiPriority w:val="0"/>
    <w:qFormat/>
    <w:pPr>
      <w:jc w:val="left"/>
    </w:pPr>
  </w:style>
  <w:style w:type="paragraph" w:styleId="655">
    <w:name w:val="Body Text"/>
    <w:basedOn w:val="639"/>
    <w:next w:val="63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56">
    <w:name w:val="Body Text Indent"/>
    <w:basedOn w:val="639"/>
    <w:next w:val="657"/>
    <w:uiPriority w:val="0"/>
    <w:qFormat/>
    <w:pPr>
      <w:ind w:firstLine="352"/>
    </w:pPr>
    <w:rPr>
      <w:rFonts w:ascii="仿宋_GB2312" w:eastAsia="仿宋_GB2312"/>
      <w:sz w:val="32"/>
    </w:rPr>
  </w:style>
  <w:style w:type="paragraph" w:styleId="657">
    <w:name w:val="Body Text First Indent 2"/>
    <w:basedOn w:val="656"/>
    <w:next w:val="639"/>
    <w:uiPriority w:val="0"/>
    <w:qFormat/>
    <w:pPr>
      <w:jc w:val="left"/>
    </w:pPr>
  </w:style>
  <w:style w:type="paragraph" w:styleId="658">
    <w:name w:val="toc 5"/>
    <w:basedOn w:val="639"/>
    <w:next w:val="639"/>
    <w:uiPriority w:val="39"/>
    <w:unhideWhenUsed/>
    <w:qFormat/>
    <w:pPr>
      <w:ind w:left="1134"/>
      <w:spacing w:after="57"/>
    </w:pPr>
  </w:style>
  <w:style w:type="paragraph" w:styleId="659">
    <w:name w:val="toc 3"/>
    <w:basedOn w:val="639"/>
    <w:next w:val="639"/>
    <w:uiPriority w:val="39"/>
    <w:unhideWhenUsed/>
    <w:qFormat/>
    <w:pPr>
      <w:ind w:left="567"/>
      <w:spacing w:after="57"/>
    </w:pPr>
  </w:style>
  <w:style w:type="paragraph" w:styleId="660">
    <w:name w:val="Plain Text"/>
    <w:basedOn w:val="639"/>
    <w:uiPriority w:val="0"/>
    <w:qFormat/>
    <w:rPr>
      <w:rFonts w:ascii="宋体" w:hAnsi="Courier New"/>
      <w:szCs w:val="20"/>
    </w:rPr>
  </w:style>
  <w:style w:type="paragraph" w:styleId="661">
    <w:name w:val="toc 8"/>
    <w:basedOn w:val="639"/>
    <w:next w:val="639"/>
    <w:uiPriority w:val="39"/>
    <w:unhideWhenUsed/>
    <w:qFormat/>
    <w:pPr>
      <w:ind w:left="1984"/>
      <w:spacing w:after="57"/>
    </w:pPr>
  </w:style>
  <w:style w:type="paragraph" w:styleId="662">
    <w:name w:val="endnote text"/>
    <w:basedOn w:val="639"/>
    <w:link w:val="862"/>
    <w:uiPriority w:val="99"/>
    <w:semiHidden/>
    <w:unhideWhenUsed/>
    <w:qFormat/>
    <w:rPr>
      <w:sz w:val="20"/>
    </w:rPr>
  </w:style>
  <w:style w:type="paragraph" w:styleId="663">
    <w:name w:val="Footer"/>
    <w:basedOn w:val="639"/>
    <w:link w:val="735"/>
    <w:uiPriority w:val="99"/>
    <w:unhideWhenUsed/>
    <w:qFormat/>
    <w:pPr>
      <w:tabs>
        <w:tab w:val="center" w:pos="7143" w:leader="none"/>
        <w:tab w:val="right" w:pos="14287" w:leader="none"/>
      </w:tabs>
    </w:pPr>
  </w:style>
  <w:style w:type="paragraph" w:styleId="664">
    <w:name w:val="Header"/>
    <w:basedOn w:val="639"/>
    <w:link w:val="733"/>
    <w:uiPriority w:val="99"/>
    <w:unhideWhenUsed/>
    <w:qFormat/>
    <w:pPr>
      <w:tabs>
        <w:tab w:val="center" w:pos="7143" w:leader="none"/>
        <w:tab w:val="right" w:pos="14287" w:leader="none"/>
      </w:tabs>
    </w:pPr>
  </w:style>
  <w:style w:type="paragraph" w:styleId="665">
    <w:name w:val="toc 1"/>
    <w:basedOn w:val="639"/>
    <w:next w:val="639"/>
    <w:uiPriority w:val="39"/>
    <w:unhideWhenUsed/>
    <w:qFormat/>
    <w:pPr>
      <w:spacing w:after="57"/>
    </w:pPr>
  </w:style>
  <w:style w:type="paragraph" w:styleId="666">
    <w:name w:val="toc 4"/>
    <w:basedOn w:val="639"/>
    <w:next w:val="639"/>
    <w:uiPriority w:val="39"/>
    <w:unhideWhenUsed/>
    <w:qFormat/>
    <w:pPr>
      <w:ind w:left="850"/>
      <w:spacing w:after="57"/>
    </w:pPr>
  </w:style>
  <w:style w:type="paragraph" w:styleId="667">
    <w:name w:val="Subtitle"/>
    <w:basedOn w:val="639"/>
    <w:next w:val="639"/>
    <w:link w:val="728"/>
    <w:uiPriority w:val="11"/>
    <w:qFormat/>
    <w:pPr>
      <w:spacing w:before="200" w:after="200"/>
    </w:pPr>
    <w:rPr>
      <w:sz w:val="24"/>
    </w:rPr>
  </w:style>
  <w:style w:type="paragraph" w:styleId="668">
    <w:name w:val="footnote text"/>
    <w:basedOn w:val="639"/>
    <w:link w:val="861"/>
    <w:uiPriority w:val="99"/>
    <w:semiHidden/>
    <w:unhideWhenUsed/>
    <w:qFormat/>
    <w:pPr>
      <w:spacing w:after="40"/>
    </w:pPr>
    <w:rPr>
      <w:sz w:val="18"/>
    </w:rPr>
  </w:style>
  <w:style w:type="paragraph" w:styleId="669">
    <w:name w:val="toc 6"/>
    <w:basedOn w:val="639"/>
    <w:next w:val="639"/>
    <w:uiPriority w:val="39"/>
    <w:unhideWhenUsed/>
    <w:qFormat/>
    <w:pPr>
      <w:ind w:left="1417"/>
      <w:spacing w:after="57"/>
    </w:pPr>
  </w:style>
  <w:style w:type="paragraph" w:styleId="670">
    <w:name w:val="table of figures"/>
    <w:basedOn w:val="639"/>
    <w:next w:val="639"/>
    <w:uiPriority w:val="99"/>
    <w:unhideWhenUsed/>
    <w:qFormat/>
  </w:style>
  <w:style w:type="paragraph" w:styleId="671">
    <w:name w:val="toc 2"/>
    <w:basedOn w:val="639"/>
    <w:next w:val="639"/>
    <w:uiPriority w:val="39"/>
    <w:unhideWhenUsed/>
    <w:qFormat/>
    <w:pPr>
      <w:ind w:left="283"/>
      <w:spacing w:after="57"/>
    </w:pPr>
  </w:style>
  <w:style w:type="paragraph" w:styleId="672">
    <w:name w:val="toc 9"/>
    <w:basedOn w:val="639"/>
    <w:next w:val="639"/>
    <w:uiPriority w:val="39"/>
    <w:unhideWhenUsed/>
    <w:qFormat/>
    <w:pPr>
      <w:ind w:left="2268"/>
      <w:spacing w:after="57"/>
    </w:pPr>
  </w:style>
  <w:style w:type="paragraph" w:styleId="673">
    <w:name w:val="Title"/>
    <w:basedOn w:val="639"/>
    <w:next w:val="639"/>
    <w:link w:val="727"/>
    <w:uiPriority w:val="10"/>
    <w:qFormat/>
    <w:pPr>
      <w:contextualSpacing/>
      <w:spacing w:before="300" w:after="200"/>
    </w:pPr>
    <w:rPr>
      <w:sz w:val="48"/>
      <w:szCs w:val="48"/>
    </w:rPr>
  </w:style>
  <w:style w:type="table" w:styleId="6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5">
    <w:name w:val="endnote reference"/>
    <w:uiPriority w:val="99"/>
    <w:semiHidden/>
    <w:unhideWhenUsed/>
    <w:qFormat/>
    <w:rPr>
      <w:vertAlign w:val="superscript"/>
    </w:rPr>
  </w:style>
  <w:style w:type="character" w:styleId="676">
    <w:name w:val="Hyperlink"/>
    <w:uiPriority w:val="99"/>
    <w:unhideWhenUsed/>
    <w:qFormat/>
    <w:rPr>
      <w:color w:val="0000ff" w:themeColor="hyperlink"/>
      <w:u w:val="single"/>
      <w14:textFill>
        <w14:solidFill>
          <w14:schemeClr w14:val="hlink"/>
        </w14:solidFill>
      </w14:textFill>
    </w:rPr>
  </w:style>
  <w:style w:type="character" w:styleId="677">
    <w:name w:val="footnote reference"/>
    <w:uiPriority w:val="99"/>
    <w:unhideWhenUsed/>
    <w:qFormat/>
    <w:rPr>
      <w:vertAlign w:val="superscript"/>
    </w:rPr>
  </w:style>
  <w:style w:type="character" w:styleId="678" w:customStyle="1">
    <w:name w:val="Heading 1 Char"/>
    <w:basedOn w:val="649"/>
    <w:uiPriority w:val="9"/>
    <w:qFormat/>
    <w:rPr>
      <w:rFonts w:ascii="Arial" w:hAnsi="Arial" w:eastAsia="Arial" w:cs="Arial"/>
      <w:sz w:val="40"/>
      <w:szCs w:val="40"/>
    </w:rPr>
  </w:style>
  <w:style w:type="character" w:styleId="679" w:customStyle="1">
    <w:name w:val="Heading 2 Char"/>
    <w:basedOn w:val="649"/>
    <w:uiPriority w:val="9"/>
    <w:qFormat/>
    <w:rPr>
      <w:rFonts w:ascii="Arial" w:hAnsi="Arial" w:eastAsia="Arial" w:cs="Arial"/>
      <w:sz w:val="34"/>
    </w:rPr>
  </w:style>
  <w:style w:type="character" w:styleId="680" w:customStyle="1">
    <w:name w:val="Heading 3 Char"/>
    <w:basedOn w:val="649"/>
    <w:uiPriority w:val="9"/>
    <w:qFormat/>
    <w:rPr>
      <w:rFonts w:ascii="Arial" w:hAnsi="Arial" w:eastAsia="Arial" w:cs="Arial"/>
      <w:sz w:val="30"/>
      <w:szCs w:val="30"/>
    </w:rPr>
  </w:style>
  <w:style w:type="character" w:styleId="681" w:customStyle="1">
    <w:name w:val="Heading 4 Char"/>
    <w:basedOn w:val="649"/>
    <w:uiPriority w:val="9"/>
    <w:qFormat/>
    <w:rPr>
      <w:rFonts w:ascii="Arial" w:hAnsi="Arial" w:eastAsia="Arial" w:cs="Arial"/>
      <w:b/>
      <w:bCs/>
      <w:sz w:val="26"/>
      <w:szCs w:val="26"/>
    </w:rPr>
  </w:style>
  <w:style w:type="character" w:styleId="682" w:customStyle="1">
    <w:name w:val="Heading 5 Char"/>
    <w:basedOn w:val="649"/>
    <w:uiPriority w:val="9"/>
    <w:qFormat/>
    <w:rPr>
      <w:rFonts w:ascii="Arial" w:hAnsi="Arial" w:eastAsia="Arial" w:cs="Arial"/>
      <w:b/>
      <w:bCs/>
      <w:sz w:val="24"/>
      <w:szCs w:val="24"/>
    </w:rPr>
  </w:style>
  <w:style w:type="character" w:styleId="683" w:customStyle="1">
    <w:name w:val="Heading 6 Char"/>
    <w:basedOn w:val="649"/>
    <w:uiPriority w:val="9"/>
    <w:qFormat/>
    <w:rPr>
      <w:rFonts w:ascii="Arial" w:hAnsi="Arial" w:eastAsia="Arial" w:cs="Arial"/>
      <w:b/>
      <w:bCs/>
      <w:sz w:val="22"/>
      <w:szCs w:val="22"/>
    </w:rPr>
  </w:style>
  <w:style w:type="character" w:styleId="684" w:customStyle="1">
    <w:name w:val="Heading 7 Char"/>
    <w:basedOn w:val="649"/>
    <w:uiPriority w:val="9"/>
    <w:qFormat/>
    <w:rPr>
      <w:rFonts w:ascii="Arial" w:hAnsi="Arial" w:eastAsia="Arial" w:cs="Arial"/>
      <w:b/>
      <w:bCs/>
      <w:i/>
      <w:iCs/>
      <w:sz w:val="22"/>
      <w:szCs w:val="22"/>
    </w:rPr>
  </w:style>
  <w:style w:type="character" w:styleId="685" w:customStyle="1">
    <w:name w:val="Heading 8 Char"/>
    <w:basedOn w:val="649"/>
    <w:uiPriority w:val="9"/>
    <w:qFormat/>
    <w:rPr>
      <w:rFonts w:ascii="Arial" w:hAnsi="Arial" w:eastAsia="Arial" w:cs="Arial"/>
      <w:i/>
      <w:iCs/>
      <w:sz w:val="22"/>
      <w:szCs w:val="22"/>
    </w:rPr>
  </w:style>
  <w:style w:type="character" w:styleId="686" w:customStyle="1">
    <w:name w:val="Heading 9 Char"/>
    <w:basedOn w:val="649"/>
    <w:uiPriority w:val="9"/>
    <w:qFormat/>
    <w:rPr>
      <w:rFonts w:ascii="Arial" w:hAnsi="Arial" w:eastAsia="Arial" w:cs="Arial"/>
      <w:i/>
      <w:iCs/>
      <w:sz w:val="21"/>
      <w:szCs w:val="21"/>
    </w:rPr>
  </w:style>
  <w:style w:type="character" w:styleId="687" w:customStyle="1">
    <w:name w:val="Title Char"/>
    <w:basedOn w:val="649"/>
    <w:uiPriority w:val="10"/>
    <w:qFormat/>
    <w:rPr>
      <w:sz w:val="48"/>
      <w:szCs w:val="48"/>
    </w:rPr>
  </w:style>
  <w:style w:type="character" w:styleId="688" w:customStyle="1">
    <w:name w:val="Subtitle Char"/>
    <w:basedOn w:val="649"/>
    <w:uiPriority w:val="11"/>
    <w:qFormat/>
    <w:rPr>
      <w:sz w:val="24"/>
      <w:szCs w:val="24"/>
    </w:rPr>
  </w:style>
  <w:style w:type="character" w:styleId="689" w:customStyle="1">
    <w:name w:val="Quote Char"/>
    <w:uiPriority w:val="29"/>
    <w:qFormat/>
    <w:rPr>
      <w:i/>
    </w:rPr>
  </w:style>
  <w:style w:type="character" w:styleId="690" w:customStyle="1">
    <w:name w:val="Intense Quote Char"/>
    <w:uiPriority w:val="30"/>
    <w:qFormat/>
    <w:rPr>
      <w:i/>
    </w:rPr>
  </w:style>
  <w:style w:type="character" w:styleId="691" w:customStyle="1">
    <w:name w:val="Header Char"/>
    <w:basedOn w:val="649"/>
    <w:uiPriority w:val="99"/>
    <w:qFormat/>
  </w:style>
  <w:style w:type="character" w:styleId="692" w:customStyle="1">
    <w:name w:val="Caption Char"/>
    <w:uiPriority w:val="99"/>
    <w:qFormat/>
  </w:style>
  <w:style w:type="table" w:styleId="693" w:customStyle="1">
    <w:name w:val="Plain Table 1"/>
    <w:basedOn w:val="6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customStyle="1">
    <w:name w:val="Plain Table 2"/>
    <w:basedOn w:val="6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Plain Table 3"/>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customStyle="1">
    <w:name w:val="Plain Table 4"/>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customStyle="1">
    <w:name w:val="Plain Table 5"/>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customStyle="1">
    <w:name w:val="Grid Table 1 Light"/>
    <w:basedOn w:val="6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9" w:customStyle="1">
    <w:name w:val="Grid Table 2"/>
    <w:basedOn w:val="6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0" w:customStyle="1">
    <w:name w:val="Grid Table 3"/>
    <w:basedOn w:val="6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4"/>
    <w:basedOn w:val="6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customStyle="1">
    <w:name w:val="Grid Table 5 Dark"/>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3" w:customStyle="1">
    <w:name w:val="Grid Table 6 Colorful"/>
    <w:basedOn w:val="6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4" w:customStyle="1">
    <w:name w:val="Grid Table 7 Colorful"/>
    <w:basedOn w:val="6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5" w:customStyle="1">
    <w:name w:val="List Table 1 Light"/>
    <w:basedOn w:val="6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customStyle="1">
    <w:name w:val="List Table 2"/>
    <w:basedOn w:val="6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7" w:customStyle="1">
    <w:name w:val="List Table 3"/>
    <w:basedOn w:val="6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8" w:customStyle="1">
    <w:name w:val="List Table 4"/>
    <w:basedOn w:val="6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9" w:customStyle="1">
    <w:name w:val="List Table 5 Dark"/>
    <w:basedOn w:val="6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0" w:customStyle="1">
    <w:name w:val="List Table 6 Colorful"/>
    <w:basedOn w:val="6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1" w:customStyle="1">
    <w:name w:val="List Table 7 Colorful"/>
    <w:basedOn w:val="6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12" w:customStyle="1">
    <w:name w:val="Footnote Text Char"/>
    <w:uiPriority w:val="99"/>
    <w:qFormat/>
    <w:rPr>
      <w:sz w:val="18"/>
    </w:rPr>
  </w:style>
  <w:style w:type="character" w:styleId="713" w:customStyle="1">
    <w:name w:val="Endnote Text Char"/>
    <w:uiPriority w:val="99"/>
    <w:qFormat/>
    <w:rPr>
      <w:sz w:val="20"/>
    </w:rPr>
  </w:style>
  <w:style w:type="paragraph" w:styleId="714" w:customStyle="1">
    <w:name w:val="TOC Heading"/>
    <w:uiPriority w:val="39"/>
    <w:unhideWhenUsed/>
    <w:qFormat/>
    <w:rPr>
      <w:rFonts w:hint="default" w:ascii="Times New Roman" w:hAnsi="Times New Roman" w:eastAsia="宋体" w:cs="Times New Roman"/>
    </w:rPr>
  </w:style>
  <w:style w:type="paragraph" w:styleId="715" w:customStyle="1">
    <w:name w:val="Char Char Char Char Char Char Char Char Char Char Char Char Char"/>
    <w:basedOn w:val="639"/>
    <w:uiPriority w:val="0"/>
    <w:qFormat/>
    <w:pPr>
      <w:jc w:val="left"/>
      <w:spacing w:after="160" w:line="240" w:lineRule="exact"/>
      <w:widowControl/>
    </w:pPr>
    <w:rPr>
      <w:rFonts w:ascii="Verdana" w:hAnsi="Verdana"/>
      <w:sz w:val="20"/>
      <w:szCs w:val="20"/>
      <w:lang w:eastAsia="en-US"/>
    </w:rPr>
  </w:style>
  <w:style w:type="character" w:styleId="716" w:customStyle="1">
    <w:name w:val="标题 1 字符"/>
    <w:link w:val="640"/>
    <w:uiPriority w:val="9"/>
    <w:qFormat/>
    <w:rPr>
      <w:rFonts w:ascii="Arial" w:hAnsi="Arial" w:eastAsia="Arial" w:cs="Arial"/>
      <w:sz w:val="40"/>
      <w:szCs w:val="40"/>
    </w:rPr>
  </w:style>
  <w:style w:type="character" w:styleId="717" w:customStyle="1">
    <w:name w:val="标题 2 字符"/>
    <w:link w:val="641"/>
    <w:uiPriority w:val="9"/>
    <w:qFormat/>
    <w:rPr>
      <w:rFonts w:ascii="Arial" w:hAnsi="Arial" w:eastAsia="Arial" w:cs="Arial"/>
      <w:sz w:val="34"/>
    </w:rPr>
  </w:style>
  <w:style w:type="character" w:styleId="718" w:customStyle="1">
    <w:name w:val="标题 3 字符"/>
    <w:link w:val="642"/>
    <w:uiPriority w:val="9"/>
    <w:qFormat/>
    <w:rPr>
      <w:rFonts w:ascii="Arial" w:hAnsi="Arial" w:eastAsia="Arial" w:cs="Arial"/>
      <w:sz w:val="30"/>
      <w:szCs w:val="30"/>
    </w:rPr>
  </w:style>
  <w:style w:type="character" w:styleId="719" w:customStyle="1">
    <w:name w:val="标题 4 字符"/>
    <w:link w:val="643"/>
    <w:uiPriority w:val="9"/>
    <w:qFormat/>
    <w:rPr>
      <w:rFonts w:ascii="Arial" w:hAnsi="Arial" w:eastAsia="Arial" w:cs="Arial"/>
      <w:b/>
      <w:bCs/>
      <w:sz w:val="26"/>
      <w:szCs w:val="26"/>
    </w:rPr>
  </w:style>
  <w:style w:type="character" w:styleId="720" w:customStyle="1">
    <w:name w:val="标题 5 字符"/>
    <w:link w:val="644"/>
    <w:uiPriority w:val="9"/>
    <w:qFormat/>
    <w:rPr>
      <w:rFonts w:ascii="Arial" w:hAnsi="Arial" w:eastAsia="Arial" w:cs="Arial"/>
      <w:b/>
      <w:bCs/>
      <w:sz w:val="24"/>
      <w:szCs w:val="24"/>
    </w:rPr>
  </w:style>
  <w:style w:type="character" w:styleId="721" w:customStyle="1">
    <w:name w:val="标题 6 字符"/>
    <w:link w:val="645"/>
    <w:uiPriority w:val="9"/>
    <w:qFormat/>
    <w:rPr>
      <w:rFonts w:ascii="Arial" w:hAnsi="Arial" w:eastAsia="Arial" w:cs="Arial"/>
      <w:b/>
      <w:bCs/>
      <w:sz w:val="22"/>
      <w:szCs w:val="22"/>
    </w:rPr>
  </w:style>
  <w:style w:type="character" w:styleId="722" w:customStyle="1">
    <w:name w:val="标题 7 字符"/>
    <w:link w:val="646"/>
    <w:uiPriority w:val="9"/>
    <w:qFormat/>
    <w:rPr>
      <w:rFonts w:ascii="Arial" w:hAnsi="Arial" w:eastAsia="Arial" w:cs="Arial"/>
      <w:b/>
      <w:bCs/>
      <w:i/>
      <w:iCs/>
      <w:sz w:val="22"/>
      <w:szCs w:val="22"/>
    </w:rPr>
  </w:style>
  <w:style w:type="character" w:styleId="723" w:customStyle="1">
    <w:name w:val="标题 8 字符"/>
    <w:link w:val="647"/>
    <w:uiPriority w:val="9"/>
    <w:qFormat/>
    <w:rPr>
      <w:rFonts w:ascii="Arial" w:hAnsi="Arial" w:eastAsia="Arial" w:cs="Arial"/>
      <w:i/>
      <w:iCs/>
      <w:sz w:val="22"/>
      <w:szCs w:val="22"/>
    </w:rPr>
  </w:style>
  <w:style w:type="character" w:styleId="724" w:customStyle="1">
    <w:name w:val="标题 9 字符"/>
    <w:link w:val="648"/>
    <w:uiPriority w:val="9"/>
    <w:qFormat/>
    <w:rPr>
      <w:rFonts w:ascii="Arial" w:hAnsi="Arial" w:eastAsia="Arial" w:cs="Arial"/>
      <w:i/>
      <w:iCs/>
      <w:sz w:val="21"/>
      <w:szCs w:val="21"/>
    </w:rPr>
  </w:style>
  <w:style w:type="paragraph" w:styleId="725">
    <w:name w:val="List Paragraph"/>
    <w:basedOn w:val="639"/>
    <w:uiPriority w:val="34"/>
    <w:qFormat/>
    <w:pPr>
      <w:contextualSpacing/>
      <w:ind w:left="720"/>
    </w:pPr>
  </w:style>
  <w:style w:type="paragraph" w:styleId="726">
    <w:name w:val="No Spacing"/>
    <w:uiPriority w:val="1"/>
    <w:qFormat/>
    <w:rPr>
      <w:rFonts w:hint="default" w:ascii="Times New Roman" w:hAnsi="Times New Roman" w:eastAsia="宋体" w:cs="Times New Roman"/>
      <w:lang w:val="en-US" w:eastAsia="zh-CN" w:bidi="ar-SA"/>
    </w:rPr>
  </w:style>
  <w:style w:type="character" w:styleId="727" w:customStyle="1">
    <w:name w:val="标题 字符"/>
    <w:link w:val="673"/>
    <w:uiPriority w:val="10"/>
    <w:qFormat/>
    <w:rPr>
      <w:sz w:val="48"/>
      <w:szCs w:val="48"/>
    </w:rPr>
  </w:style>
  <w:style w:type="character" w:styleId="728" w:customStyle="1">
    <w:name w:val="副标题 字符"/>
    <w:link w:val="667"/>
    <w:uiPriority w:val="11"/>
    <w:qFormat/>
    <w:rPr>
      <w:sz w:val="24"/>
      <w:szCs w:val="24"/>
    </w:rPr>
  </w:style>
  <w:style w:type="paragraph" w:styleId="729">
    <w:name w:val="Quote"/>
    <w:basedOn w:val="639"/>
    <w:next w:val="639"/>
    <w:link w:val="730"/>
    <w:uiPriority w:val="29"/>
    <w:qFormat/>
    <w:pPr>
      <w:ind w:left="720" w:right="720"/>
    </w:pPr>
    <w:rPr>
      <w:i/>
    </w:rPr>
  </w:style>
  <w:style w:type="character" w:styleId="730" w:customStyle="1">
    <w:name w:val="引用 字符"/>
    <w:link w:val="729"/>
    <w:uiPriority w:val="29"/>
    <w:qFormat/>
    <w:rPr>
      <w:i/>
    </w:rPr>
  </w:style>
  <w:style w:type="paragraph" w:styleId="731">
    <w:name w:val="Intense Quote"/>
    <w:basedOn w:val="639"/>
    <w:next w:val="639"/>
    <w:link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明显引用 字符"/>
    <w:link w:val="731"/>
    <w:uiPriority w:val="30"/>
    <w:qFormat/>
    <w:rPr>
      <w:i/>
    </w:rPr>
  </w:style>
  <w:style w:type="character" w:styleId="733" w:customStyle="1">
    <w:name w:val="页眉 字符"/>
    <w:link w:val="664"/>
    <w:uiPriority w:val="99"/>
    <w:qFormat/>
  </w:style>
  <w:style w:type="character" w:styleId="734" w:customStyle="1">
    <w:name w:val="Footer Char"/>
    <w:uiPriority w:val="99"/>
    <w:qFormat/>
  </w:style>
  <w:style w:type="character" w:styleId="735" w:customStyle="1">
    <w:name w:val="页脚 字符"/>
    <w:link w:val="663"/>
    <w:uiPriority w:val="99"/>
    <w:qFormat/>
  </w:style>
  <w:style w:type="table" w:styleId="7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脚注文本 字符"/>
    <w:link w:val="668"/>
    <w:uiPriority w:val="99"/>
    <w:qFormat/>
    <w:rPr>
      <w:sz w:val="18"/>
    </w:rPr>
  </w:style>
  <w:style w:type="character" w:styleId="862" w:customStyle="1">
    <w:name w:val="尾注文本 字符"/>
    <w:link w:val="662"/>
    <w:uiPriority w:val="99"/>
    <w:qFormat/>
    <w:rPr>
      <w:sz w:val="20"/>
    </w:rPr>
  </w:style>
  <w:style w:type="paragraph" w:styleId="863" w:customStyle="1">
    <w:name w:val="TOC 标题1"/>
    <w:uiPriority w:val="39"/>
    <w:unhideWhenUsed/>
    <w:qFormat/>
    <w:rPr>
      <w:rFonts w:hint="default" w:ascii="Times New Roman" w:hAnsi="Times New Roman" w:eastAsia="宋体" w:cs="Times New Roman"/>
      <w:lang w:val="en-US" w:eastAsia="zh-CN" w:bidi="ar-SA"/>
    </w:rPr>
  </w:style>
  <w:style w:type="paragraph" w:styleId="864" w:customStyle="1">
    <w:name w:val="标题 11"/>
    <w:basedOn w:val="639"/>
    <w:next w:val="639"/>
    <w:uiPriority w:val="9"/>
    <w:qFormat/>
    <w:pPr>
      <w:keepLines/>
      <w:keepNext/>
      <w:spacing w:before="340" w:after="330" w:line="578" w:lineRule="auto"/>
      <w:outlineLvl w:val="0"/>
    </w:pPr>
    <w:rPr>
      <w:b/>
      <w:bCs/>
      <w:sz w:val="44"/>
      <w:szCs w:val="44"/>
    </w:rPr>
  </w:style>
  <w:style w:type="paragraph" w:styleId="865" w:customStyle="1">
    <w:name w:val="标题 21"/>
    <w:basedOn w:val="639"/>
    <w:next w:val="866"/>
    <w:uiPriority w:val="9"/>
    <w:qFormat/>
    <w:pPr>
      <w:keepLines/>
      <w:keepNext/>
      <w:spacing w:before="260" w:after="260" w:line="413" w:lineRule="auto"/>
      <w:outlineLvl w:val="1"/>
    </w:pPr>
    <w:rPr>
      <w:rFonts w:ascii="Arial" w:hAnsi="Arial" w:eastAsia="黑体"/>
      <w:b/>
      <w:sz w:val="32"/>
      <w:szCs w:val="20"/>
    </w:rPr>
  </w:style>
  <w:style w:type="paragraph" w:styleId="866" w:customStyle="1">
    <w:name w:val="正文缩进1"/>
    <w:basedOn w:val="639"/>
    <w:link w:val="872"/>
    <w:uiPriority w:val="0"/>
    <w:qFormat/>
    <w:pPr>
      <w:ind w:firstLine="420"/>
    </w:pPr>
    <w:rPr>
      <w:szCs w:val="20"/>
    </w:rPr>
  </w:style>
  <w:style w:type="paragraph" w:styleId="867" w:customStyle="1">
    <w:name w:val="标题 31"/>
    <w:basedOn w:val="639"/>
    <w:next w:val="639"/>
    <w:uiPriority w:val="9"/>
    <w:qFormat/>
    <w:pPr>
      <w:keepLines/>
      <w:keepNext/>
      <w:spacing w:before="260" w:after="260" w:line="413" w:lineRule="auto"/>
      <w:outlineLvl w:val="2"/>
    </w:pPr>
    <w:rPr>
      <w:rFonts w:ascii="Arial" w:hAnsi="Arial"/>
      <w:b/>
      <w:sz w:val="32"/>
      <w:szCs w:val="20"/>
    </w:rPr>
  </w:style>
  <w:style w:type="paragraph" w:styleId="868" w:customStyle="1">
    <w:name w:val="标题 41"/>
    <w:basedOn w:val="639"/>
    <w:next w:val="639"/>
    <w:link w:val="873"/>
    <w:uiPriority w:val="9"/>
    <w:qFormat/>
    <w:pPr>
      <w:keepLines/>
      <w:keepNext/>
      <w:spacing w:before="280" w:after="290" w:line="376" w:lineRule="auto"/>
      <w:outlineLvl w:val="3"/>
    </w:pPr>
    <w:rPr>
      <w:rFonts w:ascii="Cambria" w:hAnsi="Cambria"/>
      <w:b/>
      <w:bCs/>
      <w:sz w:val="28"/>
      <w:szCs w:val="28"/>
    </w:rPr>
  </w:style>
  <w:style w:type="paragraph" w:styleId="869" w:customStyle="1">
    <w:name w:val="标题 51"/>
    <w:basedOn w:val="639"/>
    <w:next w:val="639"/>
    <w:link w:val="874"/>
    <w:uiPriority w:val="9"/>
    <w:qFormat/>
    <w:pPr>
      <w:keepLines/>
      <w:keepNext/>
      <w:spacing w:before="280" w:after="290" w:line="376" w:lineRule="auto"/>
      <w:outlineLvl w:val="4"/>
    </w:pPr>
    <w:rPr>
      <w:b/>
      <w:bCs/>
      <w:sz w:val="28"/>
      <w:szCs w:val="28"/>
    </w:rPr>
  </w:style>
  <w:style w:type="character" w:styleId="870" w:customStyle="1">
    <w:name w:val="默认段落字体1"/>
    <w:uiPriority w:val="0"/>
    <w:semiHidden/>
    <w:qFormat/>
  </w:style>
  <w:style w:type="table" w:styleId="871"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72" w:customStyle="1">
    <w:name w:val="正文缩进 Char"/>
    <w:link w:val="866"/>
    <w:uiPriority w:val="0"/>
    <w:qFormat/>
    <w:rPr>
      <w:sz w:val="21"/>
    </w:rPr>
  </w:style>
  <w:style w:type="character" w:styleId="873" w:customStyle="1">
    <w:name w:val="标题 4 Char"/>
    <w:link w:val="868"/>
    <w:uiPriority w:val="9"/>
    <w:qFormat/>
    <w:rPr>
      <w:rFonts w:ascii="Cambria" w:hAnsi="Cambria"/>
      <w:b/>
      <w:bCs/>
      <w:sz w:val="28"/>
      <w:szCs w:val="28"/>
    </w:rPr>
  </w:style>
  <w:style w:type="character" w:styleId="874" w:customStyle="1">
    <w:name w:val="标题 5 Char"/>
    <w:link w:val="869"/>
    <w:uiPriority w:val="9"/>
    <w:qFormat/>
    <w:rPr>
      <w:b/>
      <w:bCs/>
      <w:sz w:val="28"/>
      <w:szCs w:val="28"/>
    </w:rPr>
  </w:style>
  <w:style w:type="paragraph" w:styleId="875" w:customStyle="1">
    <w:name w:val="题注1"/>
    <w:basedOn w:val="639"/>
    <w:next w:val="639"/>
    <w:uiPriority w:val="35"/>
    <w:qFormat/>
    <w:pPr>
      <w:jc w:val="center"/>
      <w:spacing w:before="156" w:after="156" w:line="360" w:lineRule="auto"/>
    </w:pPr>
    <w:rPr>
      <w:rFonts w:ascii="Arial" w:hAnsi="Arial" w:cs="Arial"/>
      <w:sz w:val="24"/>
      <w:szCs w:val="20"/>
    </w:rPr>
  </w:style>
  <w:style w:type="paragraph" w:styleId="876" w:customStyle="1">
    <w:name w:val="文档结构图1"/>
    <w:basedOn w:val="639"/>
    <w:uiPriority w:val="0"/>
    <w:semiHidden/>
    <w:qFormat/>
    <w:pPr>
      <w:shd w:val="clear" w:color="auto" w:fill="000080"/>
    </w:pPr>
  </w:style>
  <w:style w:type="paragraph" w:styleId="877" w:customStyle="1">
    <w:name w:val="批注文字1"/>
    <w:basedOn w:val="639"/>
    <w:link w:val="878"/>
    <w:uiPriority w:val="99"/>
    <w:unhideWhenUsed/>
    <w:qFormat/>
    <w:pPr>
      <w:jc w:val="left"/>
    </w:pPr>
  </w:style>
  <w:style w:type="character" w:styleId="878" w:customStyle="1">
    <w:name w:val="批注文字 Char"/>
    <w:link w:val="877"/>
    <w:uiPriority w:val="99"/>
    <w:qFormat/>
    <w:rPr>
      <w:sz w:val="21"/>
      <w:szCs w:val="24"/>
    </w:rPr>
  </w:style>
  <w:style w:type="paragraph" w:styleId="879" w:customStyle="1">
    <w:name w:val="正文文本 31"/>
    <w:basedOn w:val="639"/>
    <w:uiPriority w:val="0"/>
    <w:qFormat/>
    <w:rPr>
      <w:rFonts w:ascii="楷体_GB2312" w:hAnsi="Arial" w:eastAsia="楷体_GB2312" w:cs="Arial"/>
      <w:b/>
      <w:bCs/>
      <w:color w:val="000000"/>
      <w:sz w:val="24"/>
    </w:rPr>
  </w:style>
  <w:style w:type="paragraph" w:styleId="880" w:customStyle="1">
    <w:name w:val="正文文本11"/>
    <w:basedOn w:val="639"/>
    <w:next w:val="63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1" w:customStyle="1">
    <w:name w:val="正文文本缩进1"/>
    <w:basedOn w:val="639"/>
    <w:uiPriority w:val="0"/>
    <w:qFormat/>
    <w:pPr>
      <w:ind w:firstLine="630"/>
    </w:pPr>
    <w:rPr>
      <w:rFonts w:ascii="楷体_GB2312" w:eastAsia="楷体_GB2312"/>
      <w:sz w:val="32"/>
      <w:szCs w:val="20"/>
    </w:rPr>
  </w:style>
  <w:style w:type="paragraph" w:styleId="882" w:customStyle="1">
    <w:name w:val="文本块1"/>
    <w:basedOn w:val="639"/>
    <w:uiPriority w:val="0"/>
    <w:qFormat/>
    <w:pPr>
      <w:ind w:left="420" w:right="33"/>
      <w:jc w:val="left"/>
    </w:pPr>
    <w:rPr>
      <w:sz w:val="24"/>
      <w:szCs w:val="20"/>
    </w:rPr>
  </w:style>
  <w:style w:type="paragraph" w:styleId="883" w:customStyle="1">
    <w:name w:val="目录 31"/>
    <w:basedOn w:val="639"/>
    <w:next w:val="639"/>
    <w:uiPriority w:val="0"/>
    <w:semiHidden/>
    <w:qFormat/>
    <w:pPr>
      <w:ind w:left="840"/>
      <w:spacing w:line="300" w:lineRule="auto"/>
      <w:tabs>
        <w:tab w:val="right" w:pos="9344" w:leader="dot"/>
      </w:tabs>
    </w:pPr>
    <w:rPr>
      <w:rFonts w:ascii="Arial" w:hAnsi="Arial" w:cs="Arial"/>
      <w:szCs w:val="21"/>
    </w:rPr>
  </w:style>
  <w:style w:type="paragraph" w:styleId="884" w:customStyle="1">
    <w:name w:val="纯文本11"/>
    <w:basedOn w:val="639"/>
    <w:link w:val="885"/>
    <w:uiPriority w:val="0"/>
    <w:qFormat/>
    <w:rPr>
      <w:rFonts w:ascii="宋体" w:hAnsi="Courier New"/>
      <w:szCs w:val="20"/>
    </w:rPr>
  </w:style>
  <w:style w:type="character" w:styleId="885" w:customStyle="1">
    <w:name w:val="纯文本 Char"/>
    <w:link w:val="884"/>
    <w:uiPriority w:val="0"/>
    <w:qFormat/>
    <w:rPr>
      <w:rFonts w:ascii="宋体" w:hAnsi="Courier New" w:eastAsia="宋体"/>
      <w:sz w:val="21"/>
      <w:lang w:val="en-US" w:eastAsia="zh-CN" w:bidi="ar-SA"/>
    </w:rPr>
  </w:style>
  <w:style w:type="paragraph" w:styleId="886" w:customStyle="1">
    <w:name w:val="正文文本缩进 21"/>
    <w:basedOn w:val="639"/>
    <w:uiPriority w:val="0"/>
    <w:qFormat/>
    <w:pPr>
      <w:ind w:left="420"/>
      <w:spacing w:after="120" w:line="480" w:lineRule="auto"/>
    </w:pPr>
  </w:style>
  <w:style w:type="paragraph" w:styleId="887" w:customStyle="1">
    <w:name w:val="批注框文本1"/>
    <w:basedOn w:val="639"/>
    <w:link w:val="888"/>
    <w:uiPriority w:val="0"/>
    <w:qFormat/>
    <w:rPr>
      <w:sz w:val="18"/>
      <w:szCs w:val="18"/>
    </w:rPr>
  </w:style>
  <w:style w:type="character" w:styleId="888" w:customStyle="1">
    <w:name w:val="批注框文本 Char"/>
    <w:link w:val="887"/>
    <w:uiPriority w:val="0"/>
    <w:qFormat/>
    <w:rPr>
      <w:sz w:val="18"/>
      <w:szCs w:val="18"/>
    </w:rPr>
  </w:style>
  <w:style w:type="paragraph" w:styleId="889" w:customStyle="1">
    <w:name w:val="页脚1"/>
    <w:basedOn w:val="639"/>
    <w:link w:val="890"/>
    <w:uiPriority w:val="0"/>
    <w:qFormat/>
    <w:pPr>
      <w:jc w:val="left"/>
      <w:tabs>
        <w:tab w:val="center" w:pos="4153" w:leader="none"/>
        <w:tab w:val="right" w:pos="8306" w:leader="none"/>
      </w:tabs>
    </w:pPr>
    <w:rPr>
      <w:sz w:val="18"/>
      <w:szCs w:val="18"/>
    </w:rPr>
  </w:style>
  <w:style w:type="character" w:styleId="890" w:customStyle="1">
    <w:name w:val="页脚 Char"/>
    <w:link w:val="889"/>
    <w:uiPriority w:val="0"/>
    <w:qFormat/>
    <w:rPr>
      <w:sz w:val="18"/>
      <w:szCs w:val="18"/>
    </w:rPr>
  </w:style>
  <w:style w:type="paragraph" w:styleId="891" w:customStyle="1">
    <w:name w:val="页眉1"/>
    <w:basedOn w:val="639"/>
    <w:link w:val="892"/>
    <w:uiPriority w:val="0"/>
    <w:qFormat/>
    <w:pPr>
      <w:jc w:val="center"/>
      <w:tabs>
        <w:tab w:val="center" w:pos="4153" w:leader="none"/>
        <w:tab w:val="right" w:pos="8306" w:leader="none"/>
      </w:tabs>
      <w:pBdr>
        <w:bottom w:val="single" w:color="000000" w:sz="6" w:space="1"/>
      </w:pBdr>
    </w:pPr>
    <w:rPr>
      <w:sz w:val="18"/>
      <w:szCs w:val="18"/>
    </w:rPr>
  </w:style>
  <w:style w:type="character" w:styleId="892" w:customStyle="1">
    <w:name w:val="页眉 Char"/>
    <w:link w:val="891"/>
    <w:uiPriority w:val="0"/>
    <w:qFormat/>
    <w:rPr>
      <w:sz w:val="18"/>
      <w:szCs w:val="18"/>
    </w:rPr>
  </w:style>
  <w:style w:type="paragraph" w:styleId="893" w:customStyle="1">
    <w:name w:val="目录 11"/>
    <w:basedOn w:val="639"/>
    <w:next w:val="639"/>
    <w:uiPriority w:val="0"/>
    <w:semiHidden/>
    <w:qFormat/>
  </w:style>
  <w:style w:type="paragraph" w:styleId="894" w:customStyle="1">
    <w:name w:val="正文文本缩进 311"/>
    <w:basedOn w:val="639"/>
    <w:uiPriority w:val="99"/>
    <w:qFormat/>
    <w:pPr>
      <w:ind w:firstLine="420"/>
    </w:pPr>
    <w:rPr>
      <w:rFonts w:eastAsia="楷体_GB2312"/>
    </w:rPr>
  </w:style>
  <w:style w:type="paragraph" w:styleId="895" w:customStyle="1">
    <w:name w:val="目录 21"/>
    <w:basedOn w:val="639"/>
    <w:next w:val="639"/>
    <w:uiPriority w:val="0"/>
    <w:semiHidden/>
    <w:qFormat/>
    <w:pPr>
      <w:ind w:left="420"/>
    </w:pPr>
    <w:rPr>
      <w:szCs w:val="20"/>
    </w:rPr>
  </w:style>
  <w:style w:type="paragraph" w:styleId="896" w:customStyle="1">
    <w:name w:val="正文文本 21"/>
    <w:basedOn w:val="639"/>
    <w:link w:val="897"/>
    <w:uiPriority w:val="0"/>
    <w:qFormat/>
    <w:pPr>
      <w:spacing w:line="440" w:lineRule="exact"/>
    </w:pPr>
    <w:rPr>
      <w:rFonts w:ascii="楷体_GB2312" w:eastAsia="楷体_GB2312"/>
      <w:sz w:val="28"/>
    </w:rPr>
  </w:style>
  <w:style w:type="character" w:styleId="897" w:customStyle="1">
    <w:name w:val="正文文本 2 Char"/>
    <w:link w:val="896"/>
    <w:uiPriority w:val="0"/>
    <w:qFormat/>
    <w:rPr>
      <w:rFonts w:ascii="楷体_GB2312" w:eastAsia="楷体_GB2312"/>
      <w:sz w:val="28"/>
      <w:szCs w:val="24"/>
    </w:rPr>
  </w:style>
  <w:style w:type="paragraph" w:styleId="898" w:customStyle="1">
    <w:name w:val="批注主题1"/>
    <w:basedOn w:val="877"/>
    <w:next w:val="877"/>
    <w:link w:val="899"/>
    <w:uiPriority w:val="0"/>
    <w:qFormat/>
    <w:rPr>
      <w:b/>
      <w:bCs/>
    </w:rPr>
  </w:style>
  <w:style w:type="character" w:styleId="899" w:customStyle="1">
    <w:name w:val="批注主题 Char"/>
    <w:link w:val="898"/>
    <w:uiPriority w:val="0"/>
    <w:qFormat/>
    <w:rPr>
      <w:b/>
      <w:bCs/>
      <w:sz w:val="21"/>
      <w:szCs w:val="24"/>
    </w:rPr>
  </w:style>
  <w:style w:type="paragraph" w:styleId="900" w:customStyle="1">
    <w:name w:val="正文首行缩进 21"/>
    <w:basedOn w:val="881"/>
    <w:uiPriority w:val="0"/>
    <w:qFormat/>
    <w:pPr>
      <w:ind w:left="420" w:firstLine="420"/>
      <w:spacing w:after="120"/>
      <w:widowControl/>
    </w:pPr>
    <w:rPr>
      <w:rFonts w:ascii="仿宋_GB2312" w:eastAsia="仿宋_GB2312"/>
      <w:color w:val="ff6600"/>
      <w:sz w:val="21"/>
    </w:rPr>
  </w:style>
  <w:style w:type="table" w:styleId="901" w:customStyle="1">
    <w:name w:val="网格型1"/>
    <w:basedOn w:val="871"/>
    <w:uiPriority w:val="0"/>
    <w:qFormat/>
    <w:tblPr>
      <w:tblCellMar>
        <w:left w:w="0" w:type="dxa"/>
        <w:top w:w="0" w:type="dxa"/>
        <w:right w:w="0" w:type="dxa"/>
        <w:bottom w:w="0" w:type="dxa"/>
      </w:tblCellMar>
    </w:tblPr>
  </w:style>
  <w:style w:type="character" w:styleId="902" w:customStyle="1">
    <w:name w:val="要点1"/>
    <w:uiPriority w:val="0"/>
    <w:qFormat/>
  </w:style>
  <w:style w:type="character" w:styleId="903" w:customStyle="1">
    <w:name w:val="页码1"/>
    <w:uiPriority w:val="0"/>
    <w:qFormat/>
  </w:style>
  <w:style w:type="character" w:styleId="904" w:customStyle="1">
    <w:name w:val="已访问的超链接1"/>
    <w:uiPriority w:val="0"/>
    <w:qFormat/>
    <w:rPr>
      <w:color w:val="800080"/>
      <w:u w:val="none"/>
    </w:rPr>
  </w:style>
  <w:style w:type="character" w:styleId="905" w:customStyle="1">
    <w:name w:val="强调1"/>
    <w:uiPriority w:val="0"/>
    <w:qFormat/>
  </w:style>
  <w:style w:type="character" w:styleId="906" w:customStyle="1">
    <w:name w:val="HTML 定义1"/>
    <w:uiPriority w:val="0"/>
    <w:qFormat/>
  </w:style>
  <w:style w:type="character" w:styleId="907" w:customStyle="1">
    <w:name w:val="HTML 打字机1"/>
    <w:uiPriority w:val="0"/>
    <w:qFormat/>
    <w:rPr>
      <w:rFonts w:ascii="monospace" w:hAnsi="monospace" w:eastAsia="monospace" w:cs="monospace"/>
      <w:sz w:val="20"/>
    </w:rPr>
  </w:style>
  <w:style w:type="character" w:styleId="908" w:customStyle="1">
    <w:name w:val="HTML 缩写1"/>
    <w:uiPriority w:val="0"/>
    <w:qFormat/>
  </w:style>
  <w:style w:type="character" w:styleId="909" w:customStyle="1">
    <w:name w:val="HTML 变量1"/>
    <w:uiPriority w:val="0"/>
    <w:qFormat/>
  </w:style>
  <w:style w:type="character" w:styleId="910" w:customStyle="1">
    <w:name w:val="超链接1"/>
    <w:uiPriority w:val="0"/>
    <w:qFormat/>
    <w:rPr>
      <w:color w:val="0000ff"/>
      <w:u w:val="none"/>
    </w:rPr>
  </w:style>
  <w:style w:type="character" w:styleId="911" w:customStyle="1">
    <w:name w:val="HTML 代码1"/>
    <w:uiPriority w:val="0"/>
    <w:qFormat/>
    <w:rPr>
      <w:rFonts w:ascii="monospace" w:hAnsi="monospace" w:eastAsia="monospace" w:cs="monospace"/>
      <w:sz w:val="20"/>
    </w:rPr>
  </w:style>
  <w:style w:type="character" w:styleId="912" w:customStyle="1">
    <w:name w:val="批注引用1"/>
    <w:uiPriority w:val="0"/>
    <w:qFormat/>
    <w:rPr>
      <w:sz w:val="21"/>
      <w:szCs w:val="21"/>
    </w:rPr>
  </w:style>
  <w:style w:type="character" w:styleId="913" w:customStyle="1">
    <w:name w:val="HTML 引文1"/>
    <w:uiPriority w:val="0"/>
    <w:qFormat/>
  </w:style>
  <w:style w:type="character" w:styleId="914" w:customStyle="1">
    <w:name w:val="HTML 键盘1"/>
    <w:uiPriority w:val="0"/>
    <w:qFormat/>
    <w:rPr>
      <w:rFonts w:ascii="monospace" w:hAnsi="monospace" w:eastAsia="monospace" w:cs="monospace"/>
      <w:sz w:val="20"/>
    </w:rPr>
  </w:style>
  <w:style w:type="character" w:styleId="915" w:customStyle="1">
    <w:name w:val="HTML 样本1"/>
    <w:uiPriority w:val="0"/>
    <w:qFormat/>
    <w:rPr>
      <w:rFonts w:ascii="monospace" w:hAnsi="monospace" w:eastAsia="monospace" w:cs="monospace"/>
    </w:rPr>
  </w:style>
  <w:style w:type="character" w:styleId="916" w:customStyle="1">
    <w:name w:val="Font Style30"/>
    <w:uiPriority w:val="0"/>
    <w:qFormat/>
    <w:rPr>
      <w:rFonts w:ascii="宋体" w:eastAsia="宋体" w:cs="宋体"/>
      <w:sz w:val="14"/>
      <w:szCs w:val="14"/>
    </w:rPr>
  </w:style>
  <w:style w:type="character" w:styleId="917" w:customStyle="1">
    <w:name w:val="glyphicon"/>
    <w:uiPriority w:val="0"/>
    <w:qFormat/>
  </w:style>
  <w:style w:type="character" w:styleId="918" w:customStyle="1">
    <w:name w:val="Font Style36"/>
    <w:uiPriority w:val="0"/>
    <w:qFormat/>
    <w:rPr>
      <w:rFonts w:ascii="宋体" w:eastAsia="宋体" w:cs="宋体"/>
      <w:sz w:val="16"/>
      <w:szCs w:val="16"/>
    </w:rPr>
  </w:style>
  <w:style w:type="character" w:styleId="919" w:customStyle="1">
    <w:name w:val="hour_am"/>
    <w:uiPriority w:val="0"/>
    <w:qFormat/>
  </w:style>
  <w:style w:type="character" w:styleId="920" w:customStyle="1">
    <w:name w:val="old"/>
    <w:uiPriority w:val="0"/>
    <w:qFormat/>
    <w:rPr>
      <w:color w:val="999999"/>
    </w:rPr>
  </w:style>
  <w:style w:type="character" w:styleId="921" w:customStyle="1">
    <w:name w:val="标题 2 Char"/>
    <w:uiPriority w:val="0"/>
    <w:qFormat/>
    <w:rPr>
      <w:rFonts w:ascii="Arial" w:hAnsi="Arial" w:eastAsia="黑体"/>
      <w:b/>
      <w:sz w:val="32"/>
      <w:lang w:val="en-US" w:eastAsia="zh-CN"/>
    </w:rPr>
  </w:style>
  <w:style w:type="character" w:styleId="922" w:customStyle="1">
    <w:name w:val="hover"/>
    <w:uiPriority w:val="0"/>
    <w:qFormat/>
    <w:rPr>
      <w:shd w:val="clear" w:color="auto" w:fill="eeeeee"/>
    </w:rPr>
  </w:style>
  <w:style w:type="character" w:styleId="923" w:customStyle="1">
    <w:name w:val="hour_pm"/>
    <w:uiPriority w:val="0"/>
    <w:qFormat/>
  </w:style>
  <w:style w:type="character" w:styleId="924" w:customStyle="1">
    <w:name w:val="Font Style28"/>
    <w:uiPriority w:val="0"/>
    <w:qFormat/>
    <w:rPr>
      <w:rFonts w:ascii="Constantia" w:hAnsi="Constantia" w:cs="Constantia"/>
      <w:sz w:val="28"/>
      <w:szCs w:val="28"/>
    </w:rPr>
  </w:style>
  <w:style w:type="character" w:styleId="925" w:customStyle="1">
    <w:name w:val="Font Style29"/>
    <w:uiPriority w:val="0"/>
    <w:qFormat/>
    <w:rPr>
      <w:rFonts w:ascii="Arial" w:hAnsi="Arial" w:cs="Arial"/>
      <w:sz w:val="14"/>
      <w:szCs w:val="14"/>
    </w:rPr>
  </w:style>
  <w:style w:type="character" w:styleId="926" w:customStyle="1">
    <w:name w:val="Font Style37"/>
    <w:uiPriority w:val="0"/>
    <w:qFormat/>
    <w:rPr>
      <w:rFonts w:ascii="Arial" w:hAnsi="Arial" w:cs="Arial"/>
      <w:sz w:val="16"/>
      <w:szCs w:val="16"/>
    </w:rPr>
  </w:style>
  <w:style w:type="character" w:styleId="927" w:customStyle="1">
    <w:name w:val="Plain Text Char"/>
    <w:uiPriority w:val="0"/>
    <w:qFormat/>
    <w:rPr>
      <w:rFonts w:ascii="宋体" w:hAnsi="Courier New" w:eastAsia="宋体"/>
      <w:sz w:val="21"/>
      <w:lang w:val="en-US" w:eastAsia="zh-CN" w:bidi="ar-SA"/>
    </w:rPr>
  </w:style>
  <w:style w:type="paragraph" w:styleId="92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9" w:customStyle="1">
    <w:name w:val="默认段落字体 Para Char Char Char Char Char Char Char Char Char1 Char Char Char Char Char Char Char"/>
    <w:basedOn w:val="876"/>
    <w:uiPriority w:val="0"/>
    <w:qFormat/>
    <w:rPr>
      <w:rFonts w:ascii="Tahoma" w:hAnsi="Tahoma"/>
      <w:sz w:val="24"/>
    </w:rPr>
  </w:style>
  <w:style w:type="paragraph" w:styleId="930" w:customStyle="1">
    <w:name w:val="Style9"/>
    <w:basedOn w:val="639"/>
    <w:uiPriority w:val="0"/>
    <w:qFormat/>
    <w:pPr>
      <w:jc w:val="left"/>
    </w:pPr>
    <w:rPr>
      <w:rFonts w:ascii="宋体"/>
      <w:sz w:val="24"/>
    </w:rPr>
  </w:style>
  <w:style w:type="paragraph" w:styleId="931" w:customStyle="1">
    <w:name w:val="Char"/>
    <w:basedOn w:val="639"/>
    <w:uiPriority w:val="0"/>
    <w:qFormat/>
    <w:pPr>
      <w:tabs>
        <w:tab w:val="left" w:pos="360" w:leader="none"/>
      </w:tabs>
    </w:pPr>
    <w:rPr>
      <w:sz w:val="24"/>
    </w:rPr>
  </w:style>
  <w:style w:type="paragraph" w:styleId="932" w:customStyle="1">
    <w:name w:val="Char Char Char1 Char Char Char Char"/>
    <w:basedOn w:val="639"/>
    <w:uiPriority w:val="0"/>
    <w:qFormat/>
    <w:pPr>
      <w:jc w:val="left"/>
      <w:spacing w:after="160" w:line="240" w:lineRule="exact"/>
      <w:widowControl/>
    </w:pPr>
    <w:rPr>
      <w:rFonts w:ascii="宋体" w:hAnsi="宋体"/>
      <w:b/>
      <w:sz w:val="28"/>
      <w:szCs w:val="28"/>
    </w:rPr>
  </w:style>
  <w:style w:type="paragraph" w:styleId="933" w:customStyle="1">
    <w:name w:val="Style10"/>
    <w:basedOn w:val="639"/>
    <w:uiPriority w:val="0"/>
    <w:qFormat/>
    <w:pPr>
      <w:jc w:val="left"/>
    </w:pPr>
    <w:rPr>
      <w:rFonts w:ascii="宋体"/>
      <w:sz w:val="24"/>
    </w:rPr>
  </w:style>
  <w:style w:type="paragraph" w:styleId="934" w:customStyle="1">
    <w:name w:val="首行缩进"/>
    <w:basedOn w:val="639"/>
    <w:uiPriority w:val="0"/>
    <w:qFormat/>
    <w:pPr>
      <w:ind w:firstLine="420"/>
      <w:spacing w:line="360" w:lineRule="auto"/>
    </w:pPr>
    <w:rPr>
      <w:sz w:val="20"/>
    </w:rPr>
  </w:style>
  <w:style w:type="paragraph" w:styleId="935" w:customStyle="1">
    <w:name w:val="普通正文"/>
    <w:basedOn w:val="639"/>
    <w:uiPriority w:val="0"/>
    <w:qFormat/>
    <w:pPr>
      <w:ind w:firstLine="480"/>
      <w:jc w:val="left"/>
      <w:spacing w:before="120" w:after="120" w:line="360" w:lineRule="auto"/>
    </w:pPr>
    <w:rPr>
      <w:rFonts w:ascii="Arial" w:hAnsi="Arial"/>
      <w:sz w:val="24"/>
    </w:rPr>
  </w:style>
  <w:style w:type="paragraph" w:styleId="936" w:customStyle="1">
    <w:name w:val="要点标题"/>
    <w:basedOn w:val="639"/>
    <w:uiPriority w:val="0"/>
    <w:qFormat/>
    <w:pPr>
      <w:numPr>
        <w:ilvl w:val="0"/>
        <w:numId w:val="1"/>
      </w:numPr>
      <w:jc w:val="left"/>
    </w:pPr>
    <w:rPr>
      <w:rFonts w:ascii="宋体" w:hAnsi="宋体"/>
      <w:b/>
      <w:sz w:val="24"/>
    </w:rPr>
  </w:style>
  <w:style w:type="paragraph" w:styleId="937" w:customStyle="1">
    <w:name w:val="文档正文"/>
    <w:basedOn w:val="639"/>
    <w:uiPriority w:val="0"/>
    <w:qFormat/>
    <w:pPr>
      <w:ind w:firstLine="567"/>
      <w:spacing w:line="480" w:lineRule="atLeast"/>
    </w:pPr>
    <w:rPr>
      <w:rFonts w:ascii="仿宋_GB2312"/>
      <w:szCs w:val="20"/>
    </w:rPr>
  </w:style>
  <w:style w:type="paragraph" w:styleId="938" w:customStyle="1">
    <w:name w:val="Char Char Char Char"/>
    <w:basedOn w:val="876"/>
    <w:uiPriority w:val="0"/>
    <w:qFormat/>
    <w:pPr>
      <w:spacing w:line="360" w:lineRule="auto"/>
    </w:pPr>
    <w:rPr>
      <w:rFonts w:ascii="Tahoma" w:hAnsi="Tahoma"/>
      <w:sz w:val="24"/>
    </w:rPr>
  </w:style>
  <w:style w:type="paragraph" w:styleId="939" w:customStyle="1">
    <w:name w:val="Char11"/>
    <w:basedOn w:val="639"/>
    <w:uiPriority w:val="0"/>
    <w:qFormat/>
    <w:pPr>
      <w:ind w:left="420" w:hanging="420"/>
      <w:jc w:val="left"/>
      <w:tabs>
        <w:tab w:val="left" w:pos="420" w:leader="none"/>
      </w:tabs>
    </w:pPr>
    <w:rPr>
      <w:szCs w:val="20"/>
    </w:rPr>
  </w:style>
  <w:style w:type="paragraph" w:styleId="940" w:customStyle="1">
    <w:name w:val="正文（无缩进）"/>
    <w:basedOn w:val="639"/>
    <w:uiPriority w:val="0"/>
    <w:qFormat/>
    <w:pPr>
      <w:spacing w:line="360" w:lineRule="auto"/>
    </w:pPr>
    <w:rPr>
      <w:rFonts w:ascii="Calibri" w:hAnsi="Calibri"/>
      <w:sz w:val="24"/>
      <w:szCs w:val="21"/>
    </w:rPr>
  </w:style>
  <w:style w:type="paragraph" w:styleId="941" w:customStyle="1">
    <w:name w:val="Style11"/>
    <w:basedOn w:val="639"/>
    <w:uiPriority w:val="0"/>
    <w:qFormat/>
    <w:pPr>
      <w:jc w:val="left"/>
      <w:spacing w:line="446" w:lineRule="exact"/>
    </w:pPr>
    <w:rPr>
      <w:rFonts w:ascii="宋体"/>
      <w:sz w:val="24"/>
    </w:rPr>
  </w:style>
  <w:style w:type="paragraph" w:styleId="942" w:customStyle="1">
    <w:name w:val="样式1"/>
    <w:basedOn w:val="639"/>
    <w:uiPriority w:val="0"/>
    <w:qFormat/>
    <w:pPr>
      <w:ind w:left="432" w:firstLine="288"/>
      <w:tabs>
        <w:tab w:val="left" w:pos="1110" w:leader="none"/>
      </w:tabs>
    </w:pPr>
    <w:rPr>
      <w:rFonts w:ascii="宋体" w:hAnsi="宋体"/>
      <w:szCs w:val="21"/>
    </w:rPr>
  </w:style>
  <w:style w:type="paragraph" w:styleId="943" w:customStyle="1">
    <w:name w:val="_Style 56"/>
    <w:basedOn w:val="876"/>
    <w:uiPriority w:val="0"/>
    <w:qFormat/>
    <w:pPr>
      <w:spacing w:line="436" w:lineRule="exact"/>
    </w:pPr>
    <w:rPr>
      <w:szCs w:val="20"/>
    </w:rPr>
  </w:style>
  <w:style w:type="paragraph" w:styleId="944" w:customStyle="1">
    <w:name w:val="Char Char1 Char Char Char Char Char Char"/>
    <w:basedOn w:val="639"/>
    <w:uiPriority w:val="0"/>
    <w:qFormat/>
    <w:pPr>
      <w:jc w:val="center"/>
      <w:widowControl/>
    </w:pPr>
    <w:rPr>
      <w:rFonts w:ascii="宋体" w:hAnsi="宋体"/>
      <w:b/>
      <w:sz w:val="24"/>
      <w:lang w:eastAsia="en-US"/>
    </w:rPr>
  </w:style>
  <w:style w:type="paragraph" w:styleId="945" w:customStyle="1">
    <w:name w:val="Char1"/>
    <w:basedOn w:val="639"/>
    <w:uiPriority w:val="0"/>
    <w:qFormat/>
    <w:pPr>
      <w:ind w:left="840" w:hanging="420"/>
      <w:tabs>
        <w:tab w:val="left" w:pos="840" w:leader="none"/>
      </w:tabs>
    </w:pPr>
    <w:rPr>
      <w:sz w:val="24"/>
    </w:rPr>
  </w:style>
  <w:style w:type="paragraph" w:styleId="946" w:customStyle="1">
    <w:name w:val="我的样式"/>
    <w:basedOn w:val="864"/>
    <w:next w:val="639"/>
    <w:uiPriority w:val="0"/>
    <w:qFormat/>
    <w:pPr>
      <w:numPr>
        <w:ilvl w:val="0"/>
        <w:numId w:val="2"/>
      </w:numPr>
      <w:spacing w:line="360" w:lineRule="auto"/>
    </w:pPr>
    <w:rPr>
      <w:rFonts w:ascii="仿宋_GB2312" w:eastAsia="仿宋_GB2312"/>
      <w:sz w:val="32"/>
      <w:szCs w:val="30"/>
    </w:rPr>
  </w:style>
  <w:style w:type="paragraph" w:styleId="947"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48" w:customStyle="1">
    <w:name w:val="Char Char Char Char Char Char Char Char Char Char Char Char Char1"/>
    <w:basedOn w:val="639"/>
    <w:uiPriority w:val="0"/>
    <w:qFormat/>
    <w:pPr>
      <w:jc w:val="left"/>
      <w:spacing w:after="160" w:line="240" w:lineRule="exact"/>
      <w:widowControl/>
    </w:pPr>
    <w:rPr>
      <w:rFonts w:ascii="Verdana" w:hAnsi="Verdana"/>
      <w:sz w:val="20"/>
      <w:szCs w:val="20"/>
      <w:lang w:eastAsia="en-US"/>
    </w:rPr>
  </w:style>
  <w:style w:type="paragraph" w:styleId="949" w:customStyle="1">
    <w:name w:val="标题1"/>
    <w:basedOn w:val="864"/>
    <w:next w:val="639"/>
    <w:uiPriority w:val="0"/>
    <w:qFormat/>
    <w:pPr>
      <w:numPr>
        <w:ilvl w:val="0"/>
        <w:numId w:val="3"/>
      </w:numPr>
      <w:jc w:val="left"/>
      <w:spacing w:line="578" w:lineRule="atLeast"/>
    </w:pPr>
  </w:style>
  <w:style w:type="paragraph" w:styleId="950" w:customStyle="1">
    <w:name w:val="正文（缩进） Char1"/>
    <w:basedOn w:val="639"/>
    <w:uiPriority w:val="0"/>
    <w:qFormat/>
    <w:pPr>
      <w:ind w:firstLine="480"/>
      <w:spacing w:before="156" w:after="156" w:line="360" w:lineRule="auto"/>
    </w:pPr>
    <w:rPr>
      <w:sz w:val="24"/>
    </w:rPr>
  </w:style>
  <w:style w:type="paragraph" w:styleId="951"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52" w:customStyle="1">
    <w:name w:val="Style12"/>
    <w:basedOn w:val="639"/>
    <w:uiPriority w:val="0"/>
    <w:qFormat/>
    <w:pPr>
      <w:jc w:val="left"/>
    </w:pPr>
    <w:rPr>
      <w:rFonts w:ascii="宋体"/>
      <w:sz w:val="24"/>
    </w:rPr>
  </w:style>
  <w:style w:type="paragraph" w:styleId="953" w:customStyle="1">
    <w:name w:val="纯文本1"/>
    <w:basedOn w:val="639"/>
    <w:uiPriority w:val="0"/>
    <w:qFormat/>
    <w:rPr>
      <w:rFonts w:ascii="宋体" w:hAnsi="Courier New"/>
      <w:szCs w:val="20"/>
    </w:rPr>
  </w:style>
  <w:style w:type="paragraph" w:styleId="954" w:customStyle="1">
    <w:name w:val="正文1"/>
    <w:basedOn w:val="955"/>
    <w:uiPriority w:val="0"/>
    <w:qFormat/>
    <w:pPr>
      <w:contextualSpacing/>
      <w:ind w:firstLine="200"/>
      <w:spacing w:before="120" w:after="120" w:line="180" w:lineRule="auto"/>
    </w:pPr>
    <w:rPr>
      <w:rFonts w:ascii="Calibri" w:hAnsi="Calibri" w:eastAsia="Adobe 仿宋 Std R"/>
      <w:szCs w:val="21"/>
    </w:rPr>
  </w:style>
  <w:style w:type="paragraph" w:styleId="955" w:customStyle="1">
    <w:name w:val="正文111"/>
    <w:next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正文文本缩进11"/>
    <w:basedOn w:val="955"/>
    <w:uiPriority w:val="0"/>
    <w:qFormat/>
    <w:pPr>
      <w:ind w:firstLine="425"/>
      <w:spacing w:line="360" w:lineRule="auto"/>
    </w:pPr>
  </w:style>
  <w:style w:type="paragraph" w:styleId="957" w:customStyle="1">
    <w:name w:val="_Style 2"/>
    <w:basedOn w:val="639"/>
    <w:uiPriority w:val="34"/>
    <w:qFormat/>
    <w:pPr>
      <w:contextualSpacing/>
      <w:ind w:left="720"/>
      <w:jc w:val="left"/>
      <w:widowControl/>
    </w:pPr>
    <w:rPr>
      <w:rFonts w:ascii="Calibri" w:hAnsi="Calibri"/>
      <w:sz w:val="24"/>
      <w:lang w:eastAsia="en-US" w:bidi="en-US"/>
    </w:rPr>
  </w:style>
  <w:style w:type="paragraph" w:styleId="958" w:customStyle="1">
    <w:name w:val="_Style 3"/>
    <w:next w:val="959"/>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59" w:customStyle="1">
    <w:name w:val="正文文本缩进 31"/>
    <w:basedOn w:val="639"/>
    <w:uiPriority w:val="99"/>
    <w:qFormat/>
    <w:pPr>
      <w:ind w:firstLine="420"/>
    </w:pPr>
    <w:rPr>
      <w:rFonts w:eastAsia="楷体_GB2312"/>
    </w:rPr>
  </w:style>
  <w:style w:type="paragraph" w:styleId="960" w:customStyle="1">
    <w:name w:val="正文首行缩进1"/>
    <w:basedOn w:val="961"/>
    <w:uiPriority w:val="99"/>
    <w:qFormat/>
    <w:pPr>
      <w:ind w:firstLine="420"/>
      <w:tabs>
        <w:tab w:val="left" w:pos="2020" w:leader="none"/>
        <w:tab w:val="center" w:pos="4535" w:leader="none"/>
      </w:tabs>
    </w:pPr>
  </w:style>
  <w:style w:type="paragraph" w:styleId="961" w:customStyle="1">
    <w:name w:val="正文文本1"/>
    <w:basedOn w:val="63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62" w:customStyle="1">
    <w:name w:val="font51"/>
    <w:basedOn w:val="649"/>
    <w:uiPriority w:val="0"/>
    <w:qFormat/>
    <w:rPr>
      <w:rFonts w:hint="eastAsia" w:ascii="宋体" w:hAnsi="宋体" w:eastAsia="宋体" w:cs="宋体"/>
      <w:color w:val="000000"/>
      <w:sz w:val="22"/>
      <w:szCs w:val="22"/>
      <w:u w:val="none"/>
    </w:rPr>
  </w:style>
  <w:style w:type="character" w:styleId="963" w:customStyle="1">
    <w:name w:val="font71"/>
    <w:basedOn w:val="649"/>
    <w:uiPriority w:val="0"/>
    <w:qFormat/>
    <w:rPr>
      <w:rFonts w:hint="default" w:ascii="Arial" w:hAnsi="Arial" w:cs="Arial"/>
      <w:color w:val="000000"/>
      <w:sz w:val="22"/>
      <w:szCs w:val="22"/>
      <w:u w:val="none"/>
    </w:rPr>
  </w:style>
  <w:style w:type="character" w:styleId="964" w:customStyle="1">
    <w:name w:val="font81"/>
    <w:basedOn w:val="649"/>
    <w:uiPriority w:val="0"/>
    <w:qFormat/>
    <w:rPr>
      <w:rFonts w:ascii="Symbol" w:hAnsi="Symbol" w:cs="Symbol"/>
      <w:color w:val="000000"/>
      <w:sz w:val="22"/>
      <w:szCs w:val="22"/>
      <w:u w:val="none"/>
    </w:rPr>
  </w:style>
  <w:style w:type="character" w:styleId="965" w:customStyle="1">
    <w:name w:val="font61"/>
    <w:basedOn w:val="649"/>
    <w:uiPriority w:val="0"/>
    <w:qFormat/>
    <w:rPr>
      <w:rFonts w:hint="default" w:ascii="Arial" w:hAnsi="Arial" w:cs="Arial"/>
      <w:color w:val="000000"/>
      <w:sz w:val="22"/>
      <w:szCs w:val="22"/>
      <w:u w:val="none"/>
    </w:rPr>
  </w:style>
  <w:style w:type="character" w:styleId="966" w:customStyle="1">
    <w:name w:val="font31"/>
    <w:basedOn w:val="649"/>
    <w:uiPriority w:val="0"/>
    <w:qFormat/>
    <w:rPr>
      <w:rFonts w:hint="eastAsia" w:ascii="微软雅黑" w:hAnsi="微软雅黑" w:eastAsia="微软雅黑" w:cs="微软雅黑"/>
      <w:color w:val="000000"/>
      <w:sz w:val="18"/>
      <w:szCs w:val="18"/>
      <w:u w:val="none"/>
    </w:rPr>
  </w:style>
  <w:style w:type="character" w:styleId="967" w:customStyle="1">
    <w:name w:val="font91"/>
    <w:basedOn w:val="649"/>
    <w:uiPriority w:val="0"/>
    <w:qFormat/>
    <w:rPr>
      <w:rFonts w:ascii="Symbol" w:hAnsi="Symbol" w:cs="Symbol"/>
      <w:color w:val="000000"/>
      <w:sz w:val="18"/>
      <w:szCs w:val="18"/>
      <w:u w:val="none"/>
    </w:rPr>
  </w:style>
  <w:style w:type="paragraph" w:styleId="968" w:customStyle="1">
    <w:name w:val="列出段落2"/>
    <w:basedOn w:val="639"/>
    <w:uiPriority w:val="0"/>
    <w:qFormat/>
    <w:pPr>
      <w:ind w:firstLine="420"/>
    </w:pPr>
    <w:rPr>
      <w:rFonts w:ascii="Calibri" w:hAnsi="Calibri" w:cs="Calibri"/>
    </w:rPr>
  </w:style>
  <w:style w:type="character" w:styleId="969" w:customStyle="1">
    <w:name w:val="font101"/>
    <w:basedOn w:val="649"/>
    <w:uiPriority w:val="0"/>
    <w:qFormat/>
    <w:rPr>
      <w:rFonts w:hint="default" w:ascii="Arial" w:hAnsi="Arial" w:cs="Arial"/>
      <w:color w:val="000000"/>
      <w:sz w:val="22"/>
      <w:szCs w:val="22"/>
      <w:u w:val="none"/>
    </w:rPr>
  </w:style>
  <w:style w:type="character" w:styleId="970" w:customStyle="1">
    <w:name w:val="NormalCharacter"/>
    <w:uiPriority w:val="0"/>
    <w:qFormat/>
  </w:style>
  <w:style w:type="paragraph" w:styleId="971" w:customStyle="1">
    <w:name w:val="正文（绿盟科技）"/>
    <w:uiPriority w:val="0"/>
    <w:qFormat/>
    <w:pPr>
      <w:spacing w:line="300" w:lineRule="auto"/>
    </w:pPr>
    <w:rPr>
      <w:rFonts w:hint="default" w:ascii="Arial" w:hAnsi="Arial" w:eastAsia="宋体" w:cs="Times New Roman (正文 CS 字体)"/>
      <w:sz w:val="21"/>
      <w:szCs w:val="21"/>
      <w:lang w:val="en-US" w:eastAsia="zh-CN" w:bidi="ar-SA"/>
    </w:rPr>
  </w:style>
  <w:style w:type="paragraph" w:styleId="972" w:customStyle="1">
    <w:name w:val="正文_2_0"/>
    <w:uiPriority w:val="0"/>
    <w:qFormat/>
    <w:pPr>
      <w:jc w:val="both"/>
      <w:widowControl w:val="off"/>
    </w:pPr>
    <w:rPr>
      <w:rFonts w:hint="default" w:ascii="Calibri" w:hAnsi="Calibri" w:eastAsia="宋体" w:cs="Times New Roman"/>
      <w:sz w:val="21"/>
      <w:lang w:val="en-US" w:eastAsia="zh-CN" w:bidi="ar-SA"/>
    </w:rPr>
  </w:style>
  <w:style w:type="numbering" w:styleId="87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江苏永实工程项目管理有限公司</cp:lastModifiedBy>
  <cp:revision>12</cp:revision>
  <dcterms:created xsi:type="dcterms:W3CDTF">2024-01-08T08:47:00Z</dcterms:created>
  <dcterms:modified xsi:type="dcterms:W3CDTF">2026-06-10T07:07:09Z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eyJoZGlkIjoiYzkxZjlmYmE2NDgzYjBlZDgzZTlmZDc1NGY5Njg3MmMiLCJ1c2VySWQiOiIxNzI3MDkzODkyIn0=</vt:lpwstr>
  </property>
  <property fmtid="{D5CDD505-2E9C-101B-9397-08002B2CF9AE}" pid="3" name="KSOProductBuildVer">
    <vt:lpwstr>2052-12.1.0.26375</vt:lpwstr>
  </property>
  <property fmtid="{D5CDD505-2E9C-101B-9397-08002B2CF9AE}" pid="4" name="ICV">
    <vt:lpwstr>B9E156B3DC7249D5A1A60779F5E810DD_13</vt:lpwstr>
  </property>
</Properties>
</file>